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836EB0">
        <w:rPr>
          <w:rFonts w:ascii="Times New Roman" w:hAnsi="Times New Roman" w:cs="Times New Roman"/>
          <w:b/>
          <w:sz w:val="24"/>
          <w:szCs w:val="24"/>
          <w:lang w:val="bg-BG"/>
        </w:rPr>
        <w:t>/ПАРТНЬОРИТЕ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ОПЕРАТИВНА ПРОГРАМА </w:t>
      </w:r>
    </w:p>
    <w:p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:rsidR="007743B9" w:rsidRDefault="00FF2795" w:rsidP="007743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предходната</w:t>
      </w:r>
      <w:r w:rsidR="007743B9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финансов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553A92">
        <w:rPr>
          <w:rStyle w:val="af2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743B9" w:rsidRPr="007743B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финансовите отчети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за предходната финансова година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подаден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към  Националния статистически институт (НСИ), се извършва служебна проверка от оценителната комисия за посочените стойности за текуща печалба/загуба,</w:t>
      </w:r>
      <w:r w:rsidR="00836EB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>собствен капитал и стойност на актива.</w:t>
      </w:r>
      <w:r w:rsidR="007743B9" w:rsidRPr="007C73F7">
        <w:rPr>
          <w:lang w:val="bg-BG"/>
        </w:rPr>
        <w:t xml:space="preserve"> </w:t>
      </w:r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 xml:space="preserve">За кандидати, </w:t>
      </w:r>
      <w:proofErr w:type="spellStart"/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>новорегистрирани</w:t>
      </w:r>
      <w:proofErr w:type="spellEnd"/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 xml:space="preserve">/новосъздадени през текущата година организации, следва да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 xml:space="preserve">приложи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</w:t>
      </w:r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>в секция 12 на ИСУН 2020 за периода от регистрацията на кандидата до последната дата на месеца, предхождащ месеца на кандидатстване.</w:t>
      </w:r>
    </w:p>
    <w:p w:rsidR="00433628" w:rsidRPr="0090257B" w:rsidRDefault="00433628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</w:t>
      </w:r>
      <w:r w:rsidR="00D34568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</m:t>
              </m:r>
              <m:r>
                <w:rPr>
                  <w:rStyle w:val="af2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2"/>
              </m:r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 xml:space="preserve">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  <m:r>
                <w:rPr>
                  <w:rStyle w:val="af2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3"/>
              </m:r>
            </m:den>
          </m:f>
        </m:oMath>
      </m:oMathPara>
    </w:p>
    <w:p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5190C">
        <w:rPr>
          <w:rFonts w:ascii="Times New Roman" w:eastAsiaTheme="minorEastAsia" w:hAnsi="Times New Roman" w:cs="Times New Roman"/>
          <w:sz w:val="36"/>
          <w:szCs w:val="36"/>
          <w:lang w:val="it-IT"/>
        </w:rPr>
        <w:t>II</w:t>
      </w:r>
      <w:r w:rsidRPr="0035190C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 w:rsidRPr="0035190C"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:rsidTr="00754AE5">
        <w:trPr>
          <w:cantSplit/>
        </w:trPr>
        <w:tc>
          <w:tcPr>
            <w:tcW w:w="3544" w:type="dxa"/>
            <w:vAlign w:val="center"/>
          </w:tcPr>
          <w:p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AFB" w:rsidRDefault="001A4AFB" w:rsidP="00B938A0">
      <w:pPr>
        <w:spacing w:after="0" w:line="240" w:lineRule="auto"/>
      </w:pPr>
      <w:r>
        <w:separator/>
      </w:r>
    </w:p>
  </w:endnote>
  <w:endnote w:type="continuationSeparator" w:id="0">
    <w:p w:rsidR="001A4AFB" w:rsidRDefault="001A4AFB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AFB" w:rsidRDefault="001A4AFB" w:rsidP="00B938A0">
      <w:pPr>
        <w:spacing w:after="0" w:line="240" w:lineRule="auto"/>
      </w:pPr>
      <w:r>
        <w:separator/>
      </w:r>
    </w:p>
  </w:footnote>
  <w:footnote w:type="continuationSeparator" w:id="0">
    <w:p w:rsidR="001A4AFB" w:rsidRDefault="001A4AFB" w:rsidP="00B938A0">
      <w:pPr>
        <w:spacing w:after="0" w:line="240" w:lineRule="auto"/>
      </w:pPr>
      <w:r>
        <w:continuationSeparator/>
      </w:r>
    </w:p>
  </w:footnote>
  <w:footnote w:id="1">
    <w:p w:rsidR="00553A92" w:rsidRPr="00A911D4" w:rsidRDefault="00553A92" w:rsidP="00553A92">
      <w:pPr>
        <w:pStyle w:val="af0"/>
        <w:rPr>
          <w:rFonts w:ascii="Times New Roman" w:hAnsi="Times New Roman" w:cs="Times New Roman"/>
          <w:lang w:val="bg-BG"/>
        </w:rPr>
      </w:pPr>
      <w:r w:rsidRPr="00A911D4">
        <w:rPr>
          <w:rStyle w:val="af2"/>
          <w:rFonts w:ascii="Times New Roman" w:hAnsi="Times New Roman" w:cs="Times New Roman"/>
        </w:rPr>
        <w:footnoteRef/>
      </w:r>
      <w:r w:rsidRPr="00A911D4">
        <w:rPr>
          <w:rFonts w:ascii="Times New Roman" w:hAnsi="Times New Roman" w:cs="Times New Roman"/>
        </w:rPr>
        <w:t xml:space="preserve"> </w:t>
      </w:r>
      <w:r w:rsidRPr="00A911D4">
        <w:rPr>
          <w:rFonts w:ascii="Times New Roman" w:hAnsi="Times New Roman" w:cs="Times New Roman"/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  <w:footnote w:id="2">
    <w:p w:rsidR="006D2043" w:rsidRPr="006D2043" w:rsidRDefault="006D2043">
      <w:pPr>
        <w:pStyle w:val="af0"/>
        <w:rPr>
          <w:lang w:val="bg-BG"/>
        </w:rPr>
      </w:pPr>
      <w:r>
        <w:rPr>
          <w:rStyle w:val="af2"/>
        </w:rPr>
        <w:footnoteRef/>
      </w:r>
      <w:r w:rsidRPr="0035190C">
        <w:rPr>
          <w:lang w:val="bg-BG"/>
        </w:rPr>
        <w:t xml:space="preserve"> </w:t>
      </w:r>
      <w:r w:rsidRPr="00DB4FBF">
        <w:rPr>
          <w:rFonts w:ascii="Times New Roman" w:hAnsi="Times New Roman" w:cs="Times New Roman"/>
          <w:lang w:val="bg-BG"/>
        </w:rPr>
        <w:t>Кодовете са данни от счетоводния баланс</w:t>
      </w:r>
      <w:r>
        <w:rPr>
          <w:rFonts w:ascii="Times New Roman" w:hAnsi="Times New Roman" w:cs="Times New Roman"/>
          <w:lang w:val="bg-BG"/>
        </w:rPr>
        <w:t>.</w:t>
      </w:r>
    </w:p>
  </w:footnote>
  <w:footnote w:id="3">
    <w:p w:rsidR="006D2043" w:rsidRPr="006D2043" w:rsidRDefault="006D2043">
      <w:pPr>
        <w:pStyle w:val="af0"/>
        <w:rPr>
          <w:lang w:val="bg-BG"/>
        </w:rPr>
      </w:pPr>
      <w:r>
        <w:rPr>
          <w:rStyle w:val="af2"/>
        </w:rPr>
        <w:footnoteRef/>
      </w:r>
      <w:r w:rsidRPr="00DB4FBF">
        <w:rPr>
          <w:rFonts w:ascii="Times New Roman" w:hAnsi="Times New Roman" w:cs="Times New Roman"/>
          <w:lang w:val="bg-BG"/>
        </w:rPr>
        <w:t xml:space="preserve">В случаите, когато </w:t>
      </w:r>
      <w:r w:rsidRPr="007632C1">
        <w:rPr>
          <w:rFonts w:ascii="Times New Roman" w:hAnsi="Times New Roman" w:cs="Times New Roman"/>
          <w:lang w:val="bg-BG"/>
        </w:rPr>
        <w:t>“</w:t>
      </w:r>
      <w:r w:rsidRPr="00DB4FBF">
        <w:rPr>
          <w:rFonts w:ascii="Times New Roman" w:hAnsi="Times New Roman" w:cs="Times New Roman"/>
          <w:lang w:val="bg-BG"/>
        </w:rPr>
        <w:t xml:space="preserve">Сума на Актива“ и „Сумата на Пасива“ е равна на „0“ </w:t>
      </w:r>
      <w:bookmarkStart w:id="0" w:name="_GoBack"/>
      <w:bookmarkEnd w:id="0"/>
      <w:r w:rsidRPr="00DB4FBF">
        <w:rPr>
          <w:rFonts w:ascii="Times New Roman" w:hAnsi="Times New Roman" w:cs="Times New Roman"/>
          <w:lang w:val="bg-BG"/>
        </w:rPr>
        <w:t xml:space="preserve">е невъзможно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 </w:t>
      </w:r>
      <w:r w:rsidRPr="0035190C">
        <w:rPr>
          <w:lang w:val="bg-BG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460"/>
    <w:rsid w:val="00011B1E"/>
    <w:rsid w:val="000229E1"/>
    <w:rsid w:val="00025870"/>
    <w:rsid w:val="00027A30"/>
    <w:rsid w:val="000330D5"/>
    <w:rsid w:val="00042E41"/>
    <w:rsid w:val="00067A31"/>
    <w:rsid w:val="00096B3A"/>
    <w:rsid w:val="00102707"/>
    <w:rsid w:val="00106B39"/>
    <w:rsid w:val="00123DC6"/>
    <w:rsid w:val="0013793B"/>
    <w:rsid w:val="00162BE1"/>
    <w:rsid w:val="001A4AFB"/>
    <w:rsid w:val="001B39F2"/>
    <w:rsid w:val="001D186D"/>
    <w:rsid w:val="001D41F5"/>
    <w:rsid w:val="0021304A"/>
    <w:rsid w:val="00213185"/>
    <w:rsid w:val="00225277"/>
    <w:rsid w:val="00265F3F"/>
    <w:rsid w:val="00275BB5"/>
    <w:rsid w:val="002A2527"/>
    <w:rsid w:val="002E05D6"/>
    <w:rsid w:val="00304175"/>
    <w:rsid w:val="00305095"/>
    <w:rsid w:val="00305CE0"/>
    <w:rsid w:val="003200C9"/>
    <w:rsid w:val="0035190C"/>
    <w:rsid w:val="003A4DF2"/>
    <w:rsid w:val="003A6C0C"/>
    <w:rsid w:val="003E50D7"/>
    <w:rsid w:val="003E5162"/>
    <w:rsid w:val="003F4DBC"/>
    <w:rsid w:val="00417DCE"/>
    <w:rsid w:val="004313F7"/>
    <w:rsid w:val="00433628"/>
    <w:rsid w:val="0045595E"/>
    <w:rsid w:val="00471FC2"/>
    <w:rsid w:val="004770D3"/>
    <w:rsid w:val="00492ACD"/>
    <w:rsid w:val="004D64E8"/>
    <w:rsid w:val="004E0E1E"/>
    <w:rsid w:val="004E5D41"/>
    <w:rsid w:val="004F2B1C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B29B2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6D2043"/>
    <w:rsid w:val="00720EC0"/>
    <w:rsid w:val="00722AEE"/>
    <w:rsid w:val="007352C8"/>
    <w:rsid w:val="00754AE5"/>
    <w:rsid w:val="007743B9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36EB0"/>
    <w:rsid w:val="00852E58"/>
    <w:rsid w:val="00853BE3"/>
    <w:rsid w:val="0088737F"/>
    <w:rsid w:val="008909E8"/>
    <w:rsid w:val="008951F9"/>
    <w:rsid w:val="008C4A97"/>
    <w:rsid w:val="008C56E2"/>
    <w:rsid w:val="008F5A5D"/>
    <w:rsid w:val="00901460"/>
    <w:rsid w:val="0090257B"/>
    <w:rsid w:val="009264A6"/>
    <w:rsid w:val="00970883"/>
    <w:rsid w:val="00996CD1"/>
    <w:rsid w:val="00997A5E"/>
    <w:rsid w:val="009B6BA8"/>
    <w:rsid w:val="009C1D21"/>
    <w:rsid w:val="009E4DD1"/>
    <w:rsid w:val="009E6616"/>
    <w:rsid w:val="009F4130"/>
    <w:rsid w:val="009F7052"/>
    <w:rsid w:val="00A12002"/>
    <w:rsid w:val="00A17257"/>
    <w:rsid w:val="00A911D4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F0B9A"/>
    <w:rsid w:val="00BF2EBB"/>
    <w:rsid w:val="00BF6ADB"/>
    <w:rsid w:val="00C01AC6"/>
    <w:rsid w:val="00C4321A"/>
    <w:rsid w:val="00C46FB4"/>
    <w:rsid w:val="00C502A1"/>
    <w:rsid w:val="00CD0E4E"/>
    <w:rsid w:val="00CD287E"/>
    <w:rsid w:val="00CF1C47"/>
    <w:rsid w:val="00D10335"/>
    <w:rsid w:val="00D12140"/>
    <w:rsid w:val="00D274CD"/>
    <w:rsid w:val="00D34568"/>
    <w:rsid w:val="00D56C7A"/>
    <w:rsid w:val="00D84194"/>
    <w:rsid w:val="00D86AD8"/>
    <w:rsid w:val="00D90B7C"/>
    <w:rsid w:val="00D91880"/>
    <w:rsid w:val="00DC3F1E"/>
    <w:rsid w:val="00DC6AA5"/>
    <w:rsid w:val="00DE6775"/>
    <w:rsid w:val="00E15C50"/>
    <w:rsid w:val="00E2541E"/>
    <w:rsid w:val="00E441C4"/>
    <w:rsid w:val="00E83B40"/>
    <w:rsid w:val="00E976B1"/>
    <w:rsid w:val="00EB5323"/>
    <w:rsid w:val="00ED38A4"/>
    <w:rsid w:val="00F1576F"/>
    <w:rsid w:val="00F230D8"/>
    <w:rsid w:val="00F26120"/>
    <w:rsid w:val="00F31669"/>
    <w:rsid w:val="00F34A34"/>
    <w:rsid w:val="00F52830"/>
    <w:rsid w:val="00F63B61"/>
    <w:rsid w:val="00F66FFC"/>
    <w:rsid w:val="00F72A0E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B0BBF-5BE5-4E5B-8498-033088A6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A1B0D-7C72-4D41-A218-C82273CA1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Radi</cp:lastModifiedBy>
  <cp:revision>116</cp:revision>
  <dcterms:created xsi:type="dcterms:W3CDTF">2015-05-14T13:29:00Z</dcterms:created>
  <dcterms:modified xsi:type="dcterms:W3CDTF">2020-10-08T09:47:00Z</dcterms:modified>
</cp:coreProperties>
</file>