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CC27C" w14:textId="22E55382" w:rsidR="00BA633A" w:rsidRDefault="00BA633A" w:rsidP="00BA633A">
      <w:pPr>
        <w:spacing w:line="197" w:lineRule="exact"/>
        <w:ind w:left="534"/>
        <w:rPr>
          <w:noProof/>
          <w:sz w:val="24"/>
          <w:szCs w:val="24"/>
          <w:lang w:val="en-US" w:eastAsia="en-US" w:bidi="ar-SA"/>
        </w:rPr>
      </w:pPr>
    </w:p>
    <w:p w14:paraId="52C15481" w14:textId="5D7F84DF" w:rsidR="00BA633A" w:rsidRDefault="00BA633A" w:rsidP="00BA633A">
      <w:pPr>
        <w:spacing w:line="197" w:lineRule="exact"/>
        <w:ind w:left="534"/>
        <w:rPr>
          <w:noProof/>
          <w:sz w:val="24"/>
          <w:szCs w:val="24"/>
          <w:lang w:val="en-US" w:eastAsia="en-US" w:bidi="ar-SA"/>
        </w:rPr>
      </w:pPr>
    </w:p>
    <w:tbl>
      <w:tblPr>
        <w:tblStyle w:val="TableGrid"/>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BA633A" w14:paraId="5908EDB0" w14:textId="77777777" w:rsidTr="00366155">
        <w:trPr>
          <w:jc w:val="center"/>
        </w:trPr>
        <w:tc>
          <w:tcPr>
            <w:tcW w:w="1809" w:type="dxa"/>
          </w:tcPr>
          <w:p w14:paraId="03D30260" w14:textId="77777777" w:rsidR="00BA633A" w:rsidRDefault="00BA633A" w:rsidP="00366155">
            <w:pPr>
              <w:pStyle w:val="Header"/>
            </w:pPr>
            <w:r>
              <w:rPr>
                <w:noProof/>
                <w:lang w:eastAsia="bg-BG"/>
              </w:rPr>
              <w:drawing>
                <wp:anchor distT="0" distB="0" distL="114300" distR="114300" simplePos="0" relativeHeight="251671552" behindDoc="0" locked="0" layoutInCell="1" allowOverlap="1" wp14:anchorId="6C0FE952" wp14:editId="3976DF42">
                  <wp:simplePos x="0" y="0"/>
                  <wp:positionH relativeFrom="column">
                    <wp:posOffset>7620</wp:posOffset>
                  </wp:positionH>
                  <wp:positionV relativeFrom="paragraph">
                    <wp:posOffset>-635</wp:posOffset>
                  </wp:positionV>
                  <wp:extent cx="954405" cy="689610"/>
                  <wp:effectExtent l="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510ECFE7" w14:textId="77777777" w:rsidR="00BA633A" w:rsidRDefault="00BA633A" w:rsidP="00366155">
            <w:pPr>
              <w:pStyle w:val="Header"/>
            </w:pPr>
          </w:p>
        </w:tc>
        <w:tc>
          <w:tcPr>
            <w:tcW w:w="1488" w:type="dxa"/>
          </w:tcPr>
          <w:p w14:paraId="404A9F25" w14:textId="77777777" w:rsidR="00BA633A" w:rsidRDefault="00BA633A" w:rsidP="00366155">
            <w:pPr>
              <w:pStyle w:val="Header"/>
              <w:jc w:val="center"/>
            </w:pPr>
          </w:p>
          <w:p w14:paraId="09C81A33" w14:textId="77777777" w:rsidR="00BA633A" w:rsidRDefault="00BA633A" w:rsidP="00366155">
            <w:pPr>
              <w:pStyle w:val="Header"/>
              <w:jc w:val="center"/>
            </w:pPr>
          </w:p>
          <w:p w14:paraId="5CA1BC24" w14:textId="77777777" w:rsidR="00BA633A" w:rsidRDefault="00BA633A" w:rsidP="00366155">
            <w:pPr>
              <w:pStyle w:val="Header"/>
              <w:tabs>
                <w:tab w:val="left" w:pos="225"/>
              </w:tabs>
            </w:pPr>
            <w:r>
              <w:tab/>
            </w:r>
          </w:p>
          <w:p w14:paraId="43BB91F6" w14:textId="77777777" w:rsidR="00BA633A" w:rsidRDefault="00BA633A" w:rsidP="00366155">
            <w:pPr>
              <w:pStyle w:val="Header"/>
              <w:jc w:val="center"/>
            </w:pPr>
          </w:p>
          <w:p w14:paraId="0DDB5EE4" w14:textId="77777777" w:rsidR="00BA633A" w:rsidRDefault="00BA633A" w:rsidP="00366155">
            <w:pPr>
              <w:pStyle w:val="Header"/>
              <w:jc w:val="center"/>
            </w:pPr>
          </w:p>
        </w:tc>
        <w:tc>
          <w:tcPr>
            <w:tcW w:w="416" w:type="dxa"/>
          </w:tcPr>
          <w:p w14:paraId="33D4001C" w14:textId="77777777" w:rsidR="00BA633A" w:rsidRDefault="00BA633A" w:rsidP="00366155">
            <w:pPr>
              <w:pStyle w:val="Header"/>
            </w:pPr>
          </w:p>
        </w:tc>
        <w:tc>
          <w:tcPr>
            <w:tcW w:w="1710" w:type="dxa"/>
          </w:tcPr>
          <w:p w14:paraId="6714FD3F" w14:textId="77777777" w:rsidR="00BA633A" w:rsidRDefault="00BA633A" w:rsidP="00366155">
            <w:pPr>
              <w:pStyle w:val="Header"/>
            </w:pPr>
            <w:r>
              <w:rPr>
                <w:noProof/>
                <w:lang w:eastAsia="bg-BG"/>
              </w:rPr>
              <w:drawing>
                <wp:anchor distT="0" distB="0" distL="114300" distR="114300" simplePos="0" relativeHeight="251672576" behindDoc="0" locked="0" layoutInCell="1" allowOverlap="1" wp14:anchorId="205FB32E" wp14:editId="1269BB23">
                  <wp:simplePos x="0" y="0"/>
                  <wp:positionH relativeFrom="column">
                    <wp:posOffset>-2540</wp:posOffset>
                  </wp:positionH>
                  <wp:positionV relativeFrom="paragraph">
                    <wp:posOffset>7620</wp:posOffset>
                  </wp:positionV>
                  <wp:extent cx="954000" cy="691200"/>
                  <wp:effectExtent l="0" t="0" r="0" b="0"/>
                  <wp:wrapNone/>
                  <wp:docPr id="62"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2B445A3E" w14:textId="77777777" w:rsidR="00BA633A" w:rsidRDefault="00BA633A" w:rsidP="00366155">
            <w:pPr>
              <w:pStyle w:val="Header"/>
            </w:pPr>
          </w:p>
        </w:tc>
        <w:tc>
          <w:tcPr>
            <w:tcW w:w="1002" w:type="dxa"/>
          </w:tcPr>
          <w:p w14:paraId="7846B5C4" w14:textId="77777777" w:rsidR="00BA633A" w:rsidRDefault="00BA633A" w:rsidP="00366155">
            <w:pPr>
              <w:pStyle w:val="Header"/>
            </w:pPr>
          </w:p>
        </w:tc>
        <w:tc>
          <w:tcPr>
            <w:tcW w:w="284" w:type="dxa"/>
          </w:tcPr>
          <w:p w14:paraId="4BB817B7" w14:textId="77777777" w:rsidR="00BA633A" w:rsidRDefault="00BA633A" w:rsidP="00366155">
            <w:pPr>
              <w:pStyle w:val="Header"/>
            </w:pPr>
          </w:p>
        </w:tc>
        <w:tc>
          <w:tcPr>
            <w:tcW w:w="2126" w:type="dxa"/>
          </w:tcPr>
          <w:p w14:paraId="70729687" w14:textId="77777777" w:rsidR="00BA633A" w:rsidRDefault="00BA633A" w:rsidP="00366155">
            <w:pPr>
              <w:pStyle w:val="Header"/>
            </w:pPr>
            <w:r>
              <w:rPr>
                <w:noProof/>
                <w:lang w:eastAsia="bg-BG"/>
              </w:rPr>
              <w:drawing>
                <wp:anchor distT="0" distB="0" distL="0" distR="0" simplePos="0" relativeHeight="251673600" behindDoc="1" locked="0" layoutInCell="1" allowOverlap="1" wp14:anchorId="7D3CF5DE" wp14:editId="6515D283">
                  <wp:simplePos x="0" y="0"/>
                  <wp:positionH relativeFrom="page">
                    <wp:posOffset>-172085</wp:posOffset>
                  </wp:positionH>
                  <wp:positionV relativeFrom="page">
                    <wp:posOffset>3810</wp:posOffset>
                  </wp:positionV>
                  <wp:extent cx="1428750" cy="685800"/>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1456038" cy="698898"/>
                          </a:xfrm>
                          <a:prstGeom prst="rect">
                            <a:avLst/>
                          </a:prstGeom>
                        </pic:spPr>
                      </pic:pic>
                    </a:graphicData>
                  </a:graphic>
                  <wp14:sizeRelH relativeFrom="margin">
                    <wp14:pctWidth>0</wp14:pctWidth>
                  </wp14:sizeRelH>
                  <wp14:sizeRelV relativeFrom="margin">
                    <wp14:pctHeight>0</wp14:pctHeight>
                  </wp14:sizeRelV>
                </wp:anchor>
              </w:drawing>
            </w:r>
          </w:p>
          <w:p w14:paraId="7705AB15" w14:textId="77777777" w:rsidR="00BA633A" w:rsidRDefault="00BA633A" w:rsidP="00366155">
            <w:pPr>
              <w:jc w:val="center"/>
            </w:pPr>
          </w:p>
          <w:p w14:paraId="2F813027" w14:textId="77777777" w:rsidR="00BA633A" w:rsidRDefault="00BA633A" w:rsidP="00366155"/>
          <w:p w14:paraId="0A2114D3" w14:textId="77777777" w:rsidR="00BA633A" w:rsidRDefault="00BA633A" w:rsidP="00366155"/>
          <w:p w14:paraId="32288F29" w14:textId="77777777" w:rsidR="00BA633A" w:rsidRPr="00220309" w:rsidRDefault="00BA633A" w:rsidP="00366155"/>
        </w:tc>
      </w:tr>
      <w:tr w:rsidR="00BA633A" w14:paraId="1CBBCF64" w14:textId="77777777" w:rsidTr="00366155">
        <w:trPr>
          <w:jc w:val="center"/>
        </w:trPr>
        <w:tc>
          <w:tcPr>
            <w:tcW w:w="9635" w:type="dxa"/>
            <w:gridSpan w:val="9"/>
          </w:tcPr>
          <w:p w14:paraId="469351F4" w14:textId="77777777" w:rsidR="00BA633A" w:rsidRPr="00220309" w:rsidRDefault="00BA633A" w:rsidP="00366155">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0193CC0" w14:textId="633C4E24" w:rsidR="00BA633A" w:rsidRPr="00E02096" w:rsidRDefault="00BA633A" w:rsidP="00BA633A">
      <w:pPr>
        <w:spacing w:line="197" w:lineRule="exact"/>
        <w:ind w:left="534"/>
        <w:rPr>
          <w:noProof/>
          <w:sz w:val="24"/>
          <w:szCs w:val="24"/>
          <w:lang w:eastAsia="en-US" w:bidi="ar-SA"/>
        </w:rPr>
      </w:pPr>
    </w:p>
    <w:p w14:paraId="4634C278" w14:textId="71155A72" w:rsidR="00BA633A" w:rsidRPr="00E02096" w:rsidRDefault="00BA633A" w:rsidP="00BA633A">
      <w:pPr>
        <w:spacing w:line="197" w:lineRule="exact"/>
        <w:ind w:left="534"/>
        <w:rPr>
          <w:noProof/>
          <w:sz w:val="24"/>
          <w:szCs w:val="24"/>
          <w:lang w:eastAsia="en-US" w:bidi="ar-SA"/>
        </w:rPr>
      </w:pPr>
    </w:p>
    <w:p w14:paraId="1ECDABE2" w14:textId="386A2455" w:rsidR="0026304E" w:rsidRPr="00B52951" w:rsidRDefault="00520594" w:rsidP="00B52951">
      <w:pPr>
        <w:pStyle w:val="BodyText"/>
        <w:jc w:val="center"/>
        <w:rPr>
          <w:b/>
          <w:caps/>
        </w:rPr>
      </w:pPr>
      <w:r w:rsidRPr="00B52951">
        <w:rPr>
          <w:b/>
          <w:caps/>
        </w:rPr>
        <w:t>МИГ Струма- Симитли, Кресна и Струмяни</w:t>
      </w:r>
    </w:p>
    <w:p w14:paraId="055B753F" w14:textId="77777777" w:rsidR="0026304E" w:rsidRPr="00B52951" w:rsidRDefault="00322CC6" w:rsidP="00B52951">
      <w:pPr>
        <w:pStyle w:val="Heading1"/>
        <w:spacing w:before="89" w:line="322" w:lineRule="exact"/>
        <w:ind w:left="0" w:right="0"/>
        <w:rPr>
          <w:caps/>
          <w:sz w:val="24"/>
          <w:szCs w:val="24"/>
        </w:rPr>
      </w:pPr>
      <w:r w:rsidRPr="00B52951">
        <w:rPr>
          <w:caps/>
          <w:sz w:val="24"/>
          <w:szCs w:val="24"/>
        </w:rPr>
        <w:t>с подкрепата на Оперативна програма</w:t>
      </w:r>
    </w:p>
    <w:p w14:paraId="20AD97E1" w14:textId="77777777" w:rsidR="0026304E" w:rsidRPr="00B52951" w:rsidRDefault="00322CC6" w:rsidP="00B52951">
      <w:pPr>
        <w:jc w:val="center"/>
        <w:rPr>
          <w:b/>
          <w:caps/>
          <w:sz w:val="24"/>
          <w:szCs w:val="24"/>
        </w:rPr>
      </w:pPr>
      <w:r w:rsidRPr="00B52951">
        <w:rPr>
          <w:b/>
          <w:caps/>
          <w:sz w:val="24"/>
          <w:szCs w:val="24"/>
        </w:rPr>
        <w:t>„Иновации и конкурентоспособност“ 2014 – 2020</w:t>
      </w:r>
    </w:p>
    <w:p w14:paraId="3EA849BC" w14:textId="77777777" w:rsidR="0026304E" w:rsidRPr="00BA633A" w:rsidRDefault="0026304E" w:rsidP="00B52951">
      <w:pPr>
        <w:pStyle w:val="BodyText"/>
        <w:spacing w:before="10"/>
        <w:jc w:val="center"/>
        <w:rPr>
          <w:b/>
        </w:rPr>
      </w:pPr>
    </w:p>
    <w:p w14:paraId="59219793" w14:textId="65D5A32F" w:rsidR="0026304E" w:rsidRPr="00BA633A" w:rsidRDefault="00322CC6" w:rsidP="00B52951">
      <w:pPr>
        <w:spacing w:before="1"/>
        <w:jc w:val="center"/>
        <w:rPr>
          <w:b/>
          <w:sz w:val="24"/>
          <w:szCs w:val="24"/>
        </w:rPr>
      </w:pPr>
      <w:r w:rsidRPr="00BA633A">
        <w:rPr>
          <w:b/>
          <w:sz w:val="24"/>
          <w:szCs w:val="24"/>
        </w:rPr>
        <w:t>О</w:t>
      </w:r>
      <w:r w:rsidR="00B52951">
        <w:rPr>
          <w:b/>
          <w:sz w:val="24"/>
          <w:szCs w:val="24"/>
        </w:rPr>
        <w:t xml:space="preserve"> </w:t>
      </w:r>
      <w:r w:rsidRPr="00BA633A">
        <w:rPr>
          <w:b/>
          <w:sz w:val="24"/>
          <w:szCs w:val="24"/>
        </w:rPr>
        <w:t>Б</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А</w:t>
      </w:r>
    </w:p>
    <w:p w14:paraId="78C0B9EA" w14:textId="77777777" w:rsidR="0026304E" w:rsidRPr="00BA633A" w:rsidRDefault="0026304E">
      <w:pPr>
        <w:pStyle w:val="BodyText"/>
        <w:spacing w:before="6"/>
        <w:rPr>
          <w:b/>
        </w:rPr>
      </w:pPr>
    </w:p>
    <w:p w14:paraId="14A94C35" w14:textId="77777777" w:rsidR="0026304E" w:rsidRPr="00BA633A" w:rsidRDefault="00322CC6" w:rsidP="00B52951">
      <w:pPr>
        <w:spacing w:before="1"/>
        <w:jc w:val="right"/>
        <w:rPr>
          <w:b/>
          <w:bCs/>
          <w:sz w:val="24"/>
          <w:szCs w:val="24"/>
        </w:rPr>
      </w:pPr>
      <w:r w:rsidRPr="00BA633A">
        <w:rPr>
          <w:b/>
          <w:bCs/>
          <w:sz w:val="24"/>
          <w:szCs w:val="24"/>
        </w:rPr>
        <w:t>подбор на проектни предложения по процедура за безвъзмездна финансова помощ</w:t>
      </w:r>
    </w:p>
    <w:p w14:paraId="3DDD4D05" w14:textId="77777777" w:rsidR="0026304E" w:rsidRPr="00BA633A" w:rsidRDefault="00D9556B" w:rsidP="00B52951">
      <w:pPr>
        <w:pStyle w:val="Heading1"/>
        <w:spacing w:before="2" w:line="242" w:lineRule="auto"/>
        <w:ind w:left="0" w:right="0" w:hanging="1"/>
        <w:rPr>
          <w:sz w:val="24"/>
          <w:szCs w:val="24"/>
        </w:rPr>
      </w:pPr>
      <w:r w:rsidRPr="00BA633A">
        <w:rPr>
          <w:sz w:val="24"/>
          <w:szCs w:val="24"/>
        </w:rPr>
        <w:t>BG16RFOP002-1.029 МИГ Струма- Симитли, Кресна и Струмяни-мярка 1.1.1.</w:t>
      </w:r>
      <w:r w:rsidR="00322CC6" w:rsidRPr="00BA633A">
        <w:rPr>
          <w:sz w:val="24"/>
          <w:szCs w:val="24"/>
        </w:rPr>
        <w:t xml:space="preserve"> „Подкр</w:t>
      </w:r>
      <w:r w:rsidRPr="00BA633A">
        <w:rPr>
          <w:sz w:val="24"/>
          <w:szCs w:val="24"/>
        </w:rPr>
        <w:t xml:space="preserve">епа за внедряване на иновации  в </w:t>
      </w:r>
      <w:r w:rsidR="00322CC6" w:rsidRPr="00BA633A">
        <w:rPr>
          <w:sz w:val="24"/>
          <w:szCs w:val="24"/>
        </w:rPr>
        <w:t>предприятията“</w:t>
      </w:r>
    </w:p>
    <w:p w14:paraId="6DE08265" w14:textId="77777777" w:rsidR="0026304E" w:rsidRPr="00206907" w:rsidRDefault="0026304E" w:rsidP="00D9556B">
      <w:pPr>
        <w:pStyle w:val="BodyText"/>
        <w:spacing w:before="7"/>
        <w:jc w:val="center"/>
        <w:rPr>
          <w:b/>
          <w:bCs/>
        </w:rPr>
      </w:pPr>
    </w:p>
    <w:p w14:paraId="58F744C4" w14:textId="4D9EABF6" w:rsidR="0026304E" w:rsidRPr="006A4DEF" w:rsidRDefault="00322CC6" w:rsidP="006A4DEF">
      <w:pPr>
        <w:pStyle w:val="Heading2"/>
        <w:numPr>
          <w:ilvl w:val="0"/>
          <w:numId w:val="12"/>
        </w:numPr>
        <w:rPr>
          <w:color w:val="548DD4" w:themeColor="text2" w:themeTint="99"/>
        </w:rPr>
      </w:pPr>
      <w:r w:rsidRPr="006A4DEF">
        <w:rPr>
          <w:color w:val="548DD4" w:themeColor="text2" w:themeTint="99"/>
        </w:rPr>
        <w:t>Цел</w:t>
      </w:r>
      <w:r w:rsidR="00E02096">
        <w:rPr>
          <w:color w:val="548DD4" w:themeColor="text2" w:themeTint="99"/>
        </w:rPr>
        <w:t>и</w:t>
      </w:r>
      <w:r w:rsidRPr="006A4DEF">
        <w:rPr>
          <w:color w:val="548DD4" w:themeColor="text2" w:themeTint="99"/>
        </w:rPr>
        <w:t xml:space="preserve"> на процедурата</w:t>
      </w:r>
    </w:p>
    <w:p w14:paraId="5D31DB2B" w14:textId="77777777" w:rsidR="00BA633A" w:rsidRPr="00BA633A" w:rsidRDefault="00BA633A">
      <w:pPr>
        <w:pStyle w:val="Heading2"/>
      </w:pPr>
    </w:p>
    <w:p w14:paraId="381A2150" w14:textId="32A38563" w:rsidR="00B52951" w:rsidRPr="004A589A" w:rsidRDefault="00B52951" w:rsidP="00B52951">
      <w:pPr>
        <w:tabs>
          <w:tab w:val="center" w:pos="5223"/>
        </w:tabs>
        <w:spacing w:before="25" w:after="120"/>
        <w:jc w:val="both"/>
        <w:rPr>
          <w:b/>
          <w:sz w:val="24"/>
          <w:szCs w:val="24"/>
        </w:rPr>
      </w:pPr>
      <w:r>
        <w:rPr>
          <w:sz w:val="24"/>
          <w:szCs w:val="24"/>
        </w:rPr>
        <w:tab/>
      </w:r>
      <w:r w:rsidRPr="004A589A">
        <w:rPr>
          <w:sz w:val="24"/>
          <w:szCs w:val="24"/>
        </w:rPr>
        <w:t xml:space="preserve">Целта на настоящата процедура е насърчаване на внедряването на иновации в предприятията на територията на </w:t>
      </w:r>
      <w:r w:rsidRPr="00714E3E">
        <w:rPr>
          <w:rFonts w:asciiTheme="majorBidi" w:hAnsiTheme="majorBidi" w:cstheme="majorBidi"/>
          <w:sz w:val="24"/>
          <w:szCs w:val="24"/>
        </w:rPr>
        <w:t>МИГ „Струма – Симитли, Кресна и Струмяни“</w:t>
      </w:r>
      <w:r w:rsidRPr="004A589A">
        <w:rPr>
          <w:sz w:val="24"/>
          <w:szCs w:val="24"/>
        </w:rPr>
        <w:t xml:space="preserve">, свързани с тематичните области на ИСИС. Подкрепата ще бъде насочена основно към внедряване на нови продукти, процеси и бизнес модели в предприятията на територията на </w:t>
      </w:r>
      <w:r w:rsidRPr="00714E3E">
        <w:rPr>
          <w:rFonts w:asciiTheme="majorBidi" w:hAnsiTheme="majorBidi" w:cstheme="majorBidi"/>
          <w:sz w:val="24"/>
          <w:szCs w:val="24"/>
        </w:rPr>
        <w:t>МИГ „Струма – Симитли, Кресна и Струмяни“</w:t>
      </w:r>
      <w:r w:rsidRPr="004A589A">
        <w:rPr>
          <w:sz w:val="24"/>
          <w:szCs w:val="24"/>
        </w:rPr>
        <w:t>.</w:t>
      </w:r>
    </w:p>
    <w:p w14:paraId="22440C5F" w14:textId="77777777" w:rsidR="00B52951" w:rsidRDefault="00B52951" w:rsidP="00B52951">
      <w:pPr>
        <w:spacing w:before="25" w:after="120"/>
        <w:jc w:val="both"/>
        <w:rPr>
          <w:sz w:val="24"/>
          <w:szCs w:val="24"/>
        </w:rPr>
      </w:pPr>
      <w:r w:rsidRPr="004A589A">
        <w:rPr>
          <w:sz w:val="24"/>
          <w:szCs w:val="24"/>
        </w:rPr>
        <w:t xml:space="preserve">Мярката е насочена към удовлетворяване на идентифицираните в анализа на социално- икономическото развитие на територията на </w:t>
      </w:r>
      <w:r w:rsidRPr="00714E3E">
        <w:rPr>
          <w:rFonts w:asciiTheme="majorBidi" w:hAnsiTheme="majorBidi" w:cstheme="majorBidi"/>
          <w:sz w:val="24"/>
          <w:szCs w:val="24"/>
        </w:rPr>
        <w:t>МИГ „Струма – Симитли, Кресна и Струмяни“</w:t>
      </w:r>
      <w:r>
        <w:rPr>
          <w:rFonts w:asciiTheme="majorBidi" w:hAnsiTheme="majorBidi" w:cstheme="majorBidi"/>
          <w:sz w:val="24"/>
          <w:szCs w:val="24"/>
        </w:rPr>
        <w:t xml:space="preserve"> </w:t>
      </w:r>
      <w:r w:rsidRPr="004A589A">
        <w:rPr>
          <w:sz w:val="24"/>
          <w:szCs w:val="24"/>
        </w:rPr>
        <w:t>нужди на МСП и потребности на целевата територия от инвестиции за насърчаване на иновационната активност на малките и средните предприятия, за внедряването на иновации от и на територията на действие на МИГ, насърчаване на частните инвестиции в научни изследвания и иновации, развитие на устойчива пазарна конкурентоспособност с цел подобряване на производствените процеси, повишаване на производствения капацитет, засилване на експортния потенциал на предприятията и устойчиво развитие, вкл. чрез диверсификация и алтернативни дейности.</w:t>
      </w:r>
    </w:p>
    <w:p w14:paraId="10CF6042" w14:textId="3C8BAAFD" w:rsidR="00B52951" w:rsidRPr="00B52951" w:rsidRDefault="00B52951" w:rsidP="00B52951">
      <w:pPr>
        <w:spacing w:before="25" w:after="120"/>
        <w:jc w:val="both"/>
        <w:rPr>
          <w:b/>
          <w:sz w:val="24"/>
          <w:szCs w:val="24"/>
        </w:rPr>
      </w:pPr>
      <w:r w:rsidRPr="004A589A">
        <w:rPr>
          <w:sz w:val="24"/>
          <w:szCs w:val="24"/>
        </w:rPr>
        <w:t>В резултат на подкрепените дейности се очаква нарастване на дела на предприятията, които самостоятелно внедряват и разпространяват иновации, в резултат на което ще се повиши иновационният им капацитет и конкурентоспособност. В резултат се очаква засилване на иновационната дейност на предприятията чрез стимулиране на инвестициите в научно-изследователска и развойна дейност и увеличаване на инвестициите в нови продукти, процеси и бизнес модели в предприятия.</w:t>
      </w:r>
    </w:p>
    <w:p w14:paraId="25005FB2" w14:textId="59EC998D" w:rsidR="00BA633A" w:rsidRDefault="00BA633A" w:rsidP="00B52951">
      <w:pPr>
        <w:pStyle w:val="BodyText"/>
        <w:rPr>
          <w:b/>
        </w:rPr>
      </w:pPr>
    </w:p>
    <w:p w14:paraId="64CBAEC8" w14:textId="57BF3CF3" w:rsidR="00BA633A" w:rsidRPr="006A4DEF" w:rsidRDefault="00BA633A" w:rsidP="006A4DEF">
      <w:pPr>
        <w:pStyle w:val="Heading2"/>
        <w:numPr>
          <w:ilvl w:val="0"/>
          <w:numId w:val="12"/>
        </w:numPr>
      </w:pPr>
      <w:r w:rsidRPr="006A4DEF">
        <w:rPr>
          <w:color w:val="548DD4" w:themeColor="text2" w:themeTint="99"/>
        </w:rPr>
        <w:t>Допустими кандидати</w:t>
      </w:r>
    </w:p>
    <w:p w14:paraId="51FD56B7" w14:textId="77777777" w:rsidR="00206907" w:rsidRDefault="00206907" w:rsidP="006A4DEF">
      <w:pPr>
        <w:pStyle w:val="Heading2"/>
      </w:pPr>
    </w:p>
    <w:p w14:paraId="434B5C35" w14:textId="2120E985" w:rsidR="00BA633A" w:rsidRDefault="00BA633A" w:rsidP="00B52951">
      <w:pPr>
        <w:pStyle w:val="BodyText"/>
        <w:ind w:left="148" w:right="104"/>
        <w:jc w:val="both"/>
      </w:pPr>
      <w:r>
        <w:t>Малки и средни предприятия, регистрирани по Търговския закон или Закона за кооперациите, със седалище и адрес на управление на територията на действие на МИГ Струма- Симитли, Кресна и Струмяни, и отговарящи на изискванията в Условията за кандидатстване по процедурата.</w:t>
      </w:r>
    </w:p>
    <w:p w14:paraId="06AB5508" w14:textId="77777777" w:rsidR="006A4DEF" w:rsidRDefault="006A4DEF" w:rsidP="006A4DEF">
      <w:pPr>
        <w:pStyle w:val="BodyText"/>
        <w:ind w:left="148" w:right="104" w:firstLine="572"/>
        <w:jc w:val="both"/>
      </w:pPr>
    </w:p>
    <w:p w14:paraId="3221274F" w14:textId="67248B13" w:rsidR="00206907" w:rsidRPr="006A4DEF" w:rsidRDefault="003B7B44" w:rsidP="006A4DEF">
      <w:pPr>
        <w:pStyle w:val="Heading2"/>
        <w:numPr>
          <w:ilvl w:val="0"/>
          <w:numId w:val="12"/>
        </w:numPr>
        <w:rPr>
          <w:color w:val="548DD4" w:themeColor="text2" w:themeTint="99"/>
        </w:rPr>
      </w:pPr>
      <w:r>
        <w:rPr>
          <w:color w:val="548DD4" w:themeColor="text2" w:themeTint="99"/>
        </w:rPr>
        <w:t xml:space="preserve">Информация за общия бюджет на </w:t>
      </w:r>
      <w:r w:rsidR="00206907" w:rsidRPr="006A4DEF">
        <w:rPr>
          <w:color w:val="548DD4" w:themeColor="text2" w:themeTint="99"/>
        </w:rPr>
        <w:t>процедурата</w:t>
      </w:r>
      <w:r>
        <w:rPr>
          <w:color w:val="548DD4" w:themeColor="text2" w:themeTint="99"/>
        </w:rPr>
        <w:t xml:space="preserve"> и предоставяне на БФП</w:t>
      </w:r>
    </w:p>
    <w:p w14:paraId="713FF5BB" w14:textId="77777777" w:rsidR="00206907" w:rsidRDefault="00206907" w:rsidP="00206907">
      <w:pPr>
        <w:pStyle w:val="ListParagraph"/>
        <w:spacing w:before="90"/>
        <w:ind w:left="360"/>
        <w:rPr>
          <w:b/>
          <w:sz w:val="24"/>
          <w:szCs w:val="24"/>
        </w:rPr>
      </w:pPr>
    </w:p>
    <w:p w14:paraId="476C9DB0" w14:textId="3E01BA2B" w:rsidR="00206907" w:rsidRPr="00206907" w:rsidRDefault="00206907" w:rsidP="003B7B44">
      <w:pPr>
        <w:spacing w:after="120"/>
        <w:ind w:left="142"/>
        <w:jc w:val="both"/>
        <w:rPr>
          <w:sz w:val="24"/>
          <w:szCs w:val="24"/>
        </w:rPr>
      </w:pPr>
      <w:r w:rsidRPr="00206907">
        <w:rPr>
          <w:sz w:val="24"/>
          <w:szCs w:val="24"/>
        </w:rPr>
        <w:t xml:space="preserve">Бюджетът по настоящата процедура за подбор на проектни предложения е в </w:t>
      </w:r>
      <w:r>
        <w:rPr>
          <w:sz w:val="24"/>
          <w:szCs w:val="24"/>
        </w:rPr>
        <w:t xml:space="preserve">размер на </w:t>
      </w:r>
      <w:r w:rsidRPr="000A24EA">
        <w:rPr>
          <w:b/>
          <w:sz w:val="24"/>
          <w:szCs w:val="24"/>
        </w:rPr>
        <w:t xml:space="preserve">755 830,00 </w:t>
      </w:r>
      <w:r w:rsidRPr="000A24EA">
        <w:rPr>
          <w:sz w:val="24"/>
          <w:szCs w:val="24"/>
        </w:rPr>
        <w:t>лева</w:t>
      </w:r>
      <w:r w:rsidRPr="00206907">
        <w:rPr>
          <w:sz w:val="24"/>
          <w:szCs w:val="24"/>
        </w:rPr>
        <w:t xml:space="preserve"> </w:t>
      </w:r>
      <w:r>
        <w:rPr>
          <w:sz w:val="24"/>
          <w:szCs w:val="24"/>
        </w:rPr>
        <w:t xml:space="preserve">и в </w:t>
      </w:r>
      <w:r w:rsidRPr="00206907">
        <w:rPr>
          <w:sz w:val="24"/>
          <w:szCs w:val="24"/>
        </w:rPr>
        <w:t xml:space="preserve">съответствие с одобрения финансов план на Стратегията за Водено от общностите местно </w:t>
      </w:r>
      <w:r w:rsidRPr="00206907">
        <w:rPr>
          <w:sz w:val="24"/>
          <w:szCs w:val="24"/>
        </w:rPr>
        <w:lastRenderedPageBreak/>
        <w:t>развитие на МИГ „Струма – Симитли, Кресна и Струмяни“, както следва:</w:t>
      </w:r>
    </w:p>
    <w:p w14:paraId="2CEA561C" w14:textId="77777777" w:rsidR="00206907" w:rsidRDefault="00206907" w:rsidP="00206907">
      <w:pPr>
        <w:contextualSpacing/>
        <w:jc w:val="both"/>
      </w:pPr>
    </w:p>
    <w:tbl>
      <w:tblPr>
        <w:tblStyle w:val="TableGrid"/>
        <w:tblW w:w="10314" w:type="dxa"/>
        <w:jc w:val="center"/>
        <w:tblLook w:val="04A0" w:firstRow="1" w:lastRow="0" w:firstColumn="1" w:lastColumn="0" w:noHBand="0" w:noVBand="1"/>
      </w:tblPr>
      <w:tblGrid>
        <w:gridCol w:w="3190"/>
        <w:gridCol w:w="3191"/>
        <w:gridCol w:w="3933"/>
      </w:tblGrid>
      <w:tr w:rsidR="00206907" w14:paraId="5C97592C" w14:textId="77777777" w:rsidTr="00206907">
        <w:trPr>
          <w:jc w:val="center"/>
        </w:trPr>
        <w:tc>
          <w:tcPr>
            <w:tcW w:w="3190" w:type="dxa"/>
            <w:shd w:val="clear" w:color="auto" w:fill="DBE5F1" w:themeFill="accent1" w:themeFillTint="33"/>
            <w:vAlign w:val="center"/>
          </w:tcPr>
          <w:p w14:paraId="34F63C9A" w14:textId="77777777" w:rsidR="00206907" w:rsidRPr="00B46FF2" w:rsidRDefault="00206907" w:rsidP="00366155">
            <w:pPr>
              <w:spacing w:before="57" w:after="57"/>
              <w:jc w:val="center"/>
            </w:pPr>
            <w:r w:rsidRPr="00B46FF2">
              <w:rPr>
                <w:b/>
                <w:sz w:val="24"/>
                <w:szCs w:val="24"/>
              </w:rPr>
              <w:t>Общ размер на безвъзмездната финансова помощ</w:t>
            </w:r>
            <w:r>
              <w:rPr>
                <w:b/>
                <w:sz w:val="24"/>
                <w:szCs w:val="24"/>
              </w:rPr>
              <w:t xml:space="preserve"> по процедурата</w:t>
            </w:r>
          </w:p>
        </w:tc>
        <w:tc>
          <w:tcPr>
            <w:tcW w:w="3191" w:type="dxa"/>
            <w:shd w:val="clear" w:color="auto" w:fill="DBE5F1" w:themeFill="accent1" w:themeFillTint="33"/>
            <w:vAlign w:val="center"/>
          </w:tcPr>
          <w:p w14:paraId="657F9DE9" w14:textId="77777777" w:rsidR="00206907" w:rsidRPr="00B46FF2" w:rsidRDefault="00206907" w:rsidP="00366155">
            <w:pPr>
              <w:spacing w:before="57" w:after="57"/>
              <w:jc w:val="center"/>
            </w:pPr>
            <w:r>
              <w:rPr>
                <w:b/>
                <w:sz w:val="24"/>
              </w:rPr>
              <w:t>Средства от Европейския фонд за регионално развитие (ЕФРР)</w:t>
            </w:r>
            <w:r w:rsidRPr="00B46FF2">
              <w:rPr>
                <w:b/>
                <w:sz w:val="24"/>
                <w:szCs w:val="24"/>
              </w:rPr>
              <w:t xml:space="preserve"> (сума/процент)</w:t>
            </w:r>
          </w:p>
        </w:tc>
        <w:tc>
          <w:tcPr>
            <w:tcW w:w="3933" w:type="dxa"/>
            <w:shd w:val="clear" w:color="auto" w:fill="DBE5F1" w:themeFill="accent1" w:themeFillTint="33"/>
            <w:vAlign w:val="center"/>
          </w:tcPr>
          <w:p w14:paraId="6BD9D5CC" w14:textId="77777777" w:rsidR="00206907" w:rsidRPr="002672A9" w:rsidRDefault="00206907" w:rsidP="00366155">
            <w:pPr>
              <w:spacing w:before="57" w:after="57"/>
              <w:jc w:val="center"/>
            </w:pPr>
            <w:r w:rsidRPr="002672A9">
              <w:rPr>
                <w:b/>
                <w:sz w:val="24"/>
                <w:szCs w:val="24"/>
              </w:rPr>
              <w:t>Национално съфинансиране</w:t>
            </w:r>
          </w:p>
          <w:p w14:paraId="1EEBF15E" w14:textId="77777777" w:rsidR="00206907" w:rsidRPr="002672A9" w:rsidRDefault="00206907" w:rsidP="00366155">
            <w:pPr>
              <w:spacing w:before="57" w:after="57"/>
              <w:jc w:val="center"/>
            </w:pPr>
            <w:r w:rsidRPr="002672A9">
              <w:rPr>
                <w:b/>
                <w:sz w:val="24"/>
                <w:szCs w:val="24"/>
              </w:rPr>
              <w:t>(сума/процент)</w:t>
            </w:r>
          </w:p>
        </w:tc>
      </w:tr>
      <w:tr w:rsidR="00206907" w14:paraId="0E2A9FEB" w14:textId="77777777" w:rsidTr="00206907">
        <w:trPr>
          <w:jc w:val="center"/>
        </w:trPr>
        <w:tc>
          <w:tcPr>
            <w:tcW w:w="3190" w:type="dxa"/>
            <w:vAlign w:val="center"/>
          </w:tcPr>
          <w:p w14:paraId="3544C567" w14:textId="77777777" w:rsidR="00206907" w:rsidRPr="00645431" w:rsidRDefault="00206907" w:rsidP="00366155">
            <w:pPr>
              <w:pStyle w:val="TableParagraph"/>
              <w:spacing w:after="120" w:line="273" w:lineRule="exact"/>
              <w:jc w:val="center"/>
              <w:rPr>
                <w:b/>
                <w:sz w:val="24"/>
                <w:szCs w:val="24"/>
              </w:rPr>
            </w:pPr>
            <w:r w:rsidRPr="00645431">
              <w:rPr>
                <w:b/>
                <w:sz w:val="24"/>
                <w:szCs w:val="24"/>
              </w:rPr>
              <w:t>755 830,00 лв.</w:t>
            </w:r>
          </w:p>
          <w:p w14:paraId="2A55C0C8" w14:textId="77777777" w:rsidR="00206907" w:rsidRPr="00645431" w:rsidRDefault="00206907" w:rsidP="00366155">
            <w:pPr>
              <w:pStyle w:val="Default"/>
              <w:spacing w:after="120"/>
              <w:jc w:val="center"/>
              <w:rPr>
                <w:b/>
              </w:rPr>
            </w:pPr>
            <w:r w:rsidRPr="00645431">
              <w:rPr>
                <w:rFonts w:eastAsia="Times New Roman"/>
                <w:b/>
                <w:lang w:val="en-GB" w:eastAsia="bg-BG"/>
              </w:rPr>
              <w:t>(100%)</w:t>
            </w:r>
          </w:p>
        </w:tc>
        <w:tc>
          <w:tcPr>
            <w:tcW w:w="3191" w:type="dxa"/>
            <w:vAlign w:val="center"/>
          </w:tcPr>
          <w:p w14:paraId="36D1939F" w14:textId="77777777" w:rsidR="00206907" w:rsidRPr="00645431" w:rsidRDefault="00206907" w:rsidP="00366155">
            <w:pPr>
              <w:pStyle w:val="TableParagraph"/>
              <w:spacing w:after="120" w:line="273" w:lineRule="exact"/>
              <w:ind w:left="110"/>
              <w:jc w:val="center"/>
              <w:rPr>
                <w:b/>
                <w:sz w:val="24"/>
                <w:szCs w:val="24"/>
              </w:rPr>
            </w:pPr>
            <w:r w:rsidRPr="00645431">
              <w:rPr>
                <w:b/>
                <w:sz w:val="24"/>
                <w:szCs w:val="24"/>
              </w:rPr>
              <w:t>642 455,50 лв.</w:t>
            </w:r>
          </w:p>
          <w:p w14:paraId="211901DF" w14:textId="77777777" w:rsidR="00206907" w:rsidRPr="00645431" w:rsidRDefault="00206907" w:rsidP="00366155">
            <w:pPr>
              <w:pStyle w:val="Default"/>
              <w:spacing w:after="120"/>
              <w:jc w:val="center"/>
              <w:rPr>
                <w:b/>
              </w:rPr>
            </w:pPr>
            <w:r w:rsidRPr="00645431">
              <w:rPr>
                <w:rFonts w:eastAsia="Times New Roman"/>
                <w:b/>
                <w:lang w:eastAsia="bg-BG"/>
              </w:rPr>
              <w:t>(85%)</w:t>
            </w:r>
          </w:p>
        </w:tc>
        <w:tc>
          <w:tcPr>
            <w:tcW w:w="3933" w:type="dxa"/>
            <w:vAlign w:val="center"/>
          </w:tcPr>
          <w:p w14:paraId="576989F3" w14:textId="77777777" w:rsidR="00206907" w:rsidRPr="00645431" w:rsidRDefault="00206907" w:rsidP="00366155">
            <w:pPr>
              <w:pStyle w:val="TableParagraph"/>
              <w:spacing w:after="120" w:line="273" w:lineRule="exact"/>
              <w:ind w:left="108"/>
              <w:jc w:val="center"/>
              <w:rPr>
                <w:b/>
                <w:sz w:val="24"/>
                <w:szCs w:val="24"/>
              </w:rPr>
            </w:pPr>
            <w:r w:rsidRPr="00645431">
              <w:rPr>
                <w:b/>
                <w:sz w:val="24"/>
                <w:szCs w:val="24"/>
              </w:rPr>
              <w:t>11 337,45 лв.</w:t>
            </w:r>
          </w:p>
          <w:p w14:paraId="06DE0320" w14:textId="77777777" w:rsidR="00206907" w:rsidRPr="00645431" w:rsidRDefault="00206907" w:rsidP="00366155">
            <w:pPr>
              <w:pStyle w:val="Default"/>
              <w:spacing w:after="120"/>
              <w:jc w:val="center"/>
              <w:rPr>
                <w:b/>
              </w:rPr>
            </w:pPr>
            <w:r w:rsidRPr="00645431">
              <w:rPr>
                <w:rFonts w:eastAsia="Times New Roman"/>
                <w:b/>
                <w:lang w:eastAsia="bg-BG"/>
              </w:rPr>
              <w:t>(15%)</w:t>
            </w:r>
          </w:p>
        </w:tc>
      </w:tr>
    </w:tbl>
    <w:p w14:paraId="7FBB338C" w14:textId="4BB57F70" w:rsidR="00206907" w:rsidRDefault="00206907" w:rsidP="00206907">
      <w:pPr>
        <w:pStyle w:val="ListParagraph"/>
        <w:spacing w:before="90"/>
        <w:ind w:left="360"/>
        <w:rPr>
          <w:b/>
          <w:sz w:val="24"/>
          <w:szCs w:val="24"/>
        </w:rPr>
      </w:pPr>
    </w:p>
    <w:p w14:paraId="47740ED3" w14:textId="77777777" w:rsidR="00206907" w:rsidRPr="00D613BF" w:rsidRDefault="00206907" w:rsidP="003B7B44">
      <w:pPr>
        <w:spacing w:after="120"/>
        <w:jc w:val="both"/>
        <w:rPr>
          <w:sz w:val="24"/>
        </w:rPr>
      </w:pPr>
      <w:r w:rsidRPr="00D613BF">
        <w:rPr>
          <w:sz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69910A" w14:textId="1189DA52" w:rsidR="00206907" w:rsidRPr="003B7B44" w:rsidRDefault="00206907" w:rsidP="003B7B44">
      <w:pPr>
        <w:pStyle w:val="ListParagraph"/>
        <w:numPr>
          <w:ilvl w:val="0"/>
          <w:numId w:val="17"/>
        </w:numPr>
        <w:spacing w:after="120"/>
        <w:jc w:val="both"/>
        <w:rPr>
          <w:rFonts w:eastAsia="Calibri"/>
          <w:sz w:val="24"/>
          <w:szCs w:val="24"/>
        </w:rPr>
      </w:pPr>
      <w:r w:rsidRPr="003B7B44">
        <w:rPr>
          <w:b/>
          <w:sz w:val="24"/>
        </w:rPr>
        <w:t>Минимален размер на безвъзмездната финансова помощ за проект: 50 000,00 лева;</w:t>
      </w:r>
    </w:p>
    <w:p w14:paraId="4EEE1083" w14:textId="44324464" w:rsidR="00206907" w:rsidRPr="003B7B44" w:rsidRDefault="00206907" w:rsidP="003B7B44">
      <w:pPr>
        <w:pStyle w:val="ListParagraph"/>
        <w:numPr>
          <w:ilvl w:val="0"/>
          <w:numId w:val="17"/>
        </w:numPr>
        <w:spacing w:after="120"/>
        <w:jc w:val="both"/>
        <w:rPr>
          <w:rFonts w:eastAsia="Calibri"/>
          <w:sz w:val="24"/>
          <w:szCs w:val="24"/>
        </w:rPr>
      </w:pPr>
      <w:r w:rsidRPr="003B7B44">
        <w:rPr>
          <w:b/>
          <w:sz w:val="24"/>
        </w:rPr>
        <w:t>Максимален размер на безвъзмездната</w:t>
      </w:r>
      <w:r w:rsidRPr="003B7B44">
        <w:rPr>
          <w:b/>
          <w:spacing w:val="-6"/>
          <w:sz w:val="24"/>
        </w:rPr>
        <w:t xml:space="preserve"> </w:t>
      </w:r>
      <w:r w:rsidRPr="003B7B44">
        <w:rPr>
          <w:b/>
          <w:sz w:val="24"/>
        </w:rPr>
        <w:t>финансова</w:t>
      </w:r>
      <w:r w:rsidRPr="003B7B44">
        <w:rPr>
          <w:b/>
          <w:spacing w:val="-2"/>
          <w:sz w:val="24"/>
        </w:rPr>
        <w:t xml:space="preserve"> </w:t>
      </w:r>
      <w:r w:rsidRPr="003B7B44">
        <w:rPr>
          <w:b/>
          <w:sz w:val="24"/>
        </w:rPr>
        <w:t>помощ: 188 000,00</w:t>
      </w:r>
      <w:r w:rsidRPr="003B7B44">
        <w:rPr>
          <w:b/>
          <w:spacing w:val="-1"/>
          <w:sz w:val="24"/>
        </w:rPr>
        <w:t xml:space="preserve"> </w:t>
      </w:r>
      <w:r w:rsidRPr="003B7B44">
        <w:rPr>
          <w:b/>
          <w:sz w:val="24"/>
        </w:rPr>
        <w:t>лева.</w:t>
      </w:r>
    </w:p>
    <w:p w14:paraId="31130214" w14:textId="77777777" w:rsidR="00206907" w:rsidRPr="002E7753" w:rsidRDefault="00206907" w:rsidP="003B7B44">
      <w:pPr>
        <w:spacing w:after="120"/>
        <w:jc w:val="both"/>
        <w:rPr>
          <w:b/>
          <w:sz w:val="24"/>
          <w:szCs w:val="24"/>
        </w:rPr>
      </w:pPr>
      <w:r w:rsidRPr="002E7753">
        <w:rPr>
          <w:sz w:val="24"/>
          <w:szCs w:val="24"/>
        </w:rPr>
        <w:t>Максималният интензитет на Безвъзмездната финансова помощ за финансиране на мярка  1.1.1 „Подкрепа за внедряване на иновации в предприятията“</w:t>
      </w:r>
      <w:r w:rsidRPr="002E7753">
        <w:rPr>
          <w:b/>
          <w:sz w:val="24"/>
          <w:szCs w:val="24"/>
        </w:rPr>
        <w:t xml:space="preserve"> </w:t>
      </w:r>
      <w:r w:rsidRPr="002E7753">
        <w:rPr>
          <w:sz w:val="24"/>
          <w:szCs w:val="24"/>
        </w:rPr>
        <w:t xml:space="preserve">е </w:t>
      </w:r>
      <w:r w:rsidRPr="002E7753">
        <w:rPr>
          <w:b/>
          <w:sz w:val="24"/>
          <w:szCs w:val="24"/>
        </w:rPr>
        <w:t xml:space="preserve">до 90 % от общата стойност на допустимите разходи по проекта </w:t>
      </w:r>
      <w:r w:rsidRPr="002E7753">
        <w:rPr>
          <w:sz w:val="24"/>
          <w:szCs w:val="24"/>
        </w:rPr>
        <w:t>за всички допустими по процедурата категории предприятия</w:t>
      </w:r>
      <w:r w:rsidRPr="002E7753">
        <w:rPr>
          <w:b/>
          <w:sz w:val="24"/>
          <w:szCs w:val="24"/>
        </w:rPr>
        <w:t>.</w:t>
      </w:r>
    </w:p>
    <w:p w14:paraId="7BDD39CF" w14:textId="77777777" w:rsidR="00206907" w:rsidRPr="00FF085F" w:rsidRDefault="00206907" w:rsidP="003B7B44">
      <w:pPr>
        <w:spacing w:after="120"/>
        <w:jc w:val="both"/>
        <w:rPr>
          <w:rFonts w:eastAsia="Calibri"/>
          <w:bCs/>
          <w:sz w:val="24"/>
          <w:szCs w:val="24"/>
        </w:rPr>
      </w:pPr>
      <w:r w:rsidRPr="00FF085F">
        <w:rPr>
          <w:rFonts w:eastAsia="Calibri"/>
          <w:bCs/>
          <w:sz w:val="24"/>
          <w:szCs w:val="24"/>
        </w:rPr>
        <w:t xml:space="preserve">Максималният размер на помощта по режим </w:t>
      </w:r>
      <w:proofErr w:type="spellStart"/>
      <w:r w:rsidRPr="00FF085F">
        <w:rPr>
          <w:rFonts w:eastAsia="Calibri"/>
          <w:bCs/>
          <w:sz w:val="24"/>
          <w:szCs w:val="24"/>
        </w:rPr>
        <w:t>de</w:t>
      </w:r>
      <w:proofErr w:type="spellEnd"/>
      <w:r w:rsidRPr="00FF085F">
        <w:rPr>
          <w:rFonts w:eastAsia="Calibri"/>
          <w:bCs/>
          <w:sz w:val="24"/>
          <w:szCs w:val="24"/>
        </w:rPr>
        <w:t xml:space="preserve"> </w:t>
      </w:r>
      <w:proofErr w:type="spellStart"/>
      <w:r w:rsidRPr="00FF085F">
        <w:rPr>
          <w:rFonts w:eastAsia="Calibri"/>
          <w:bCs/>
          <w:sz w:val="24"/>
          <w:szCs w:val="24"/>
        </w:rPr>
        <w:t>minimis</w:t>
      </w:r>
      <w:proofErr w:type="spellEnd"/>
      <w:r w:rsidRPr="00FF085F">
        <w:rPr>
          <w:rFonts w:eastAsia="Calibri"/>
          <w:bCs/>
          <w:sz w:val="24"/>
          <w:szCs w:val="24"/>
        </w:rPr>
        <w:t>,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vertAlign w:val="superscript"/>
        </w:rPr>
        <w:footnoteReference w:id="1"/>
      </w:r>
      <w:r w:rsidRPr="00FF085F">
        <w:rPr>
          <w:rFonts w:eastAsia="Calibri"/>
          <w:bCs/>
          <w:sz w:val="24"/>
          <w:szCs w:val="24"/>
        </w:rPr>
        <w:t>, което осъществява автомобилни товарни превози за чужда сметка за период от три финансови години.</w:t>
      </w:r>
    </w:p>
    <w:p w14:paraId="0CE6D604" w14:textId="77777777" w:rsidR="00206907" w:rsidRDefault="00206907" w:rsidP="00206907">
      <w:pPr>
        <w:pStyle w:val="ListParagraph"/>
        <w:spacing w:before="90"/>
        <w:ind w:left="360"/>
        <w:rPr>
          <w:b/>
          <w:sz w:val="24"/>
          <w:szCs w:val="24"/>
        </w:rPr>
      </w:pPr>
    </w:p>
    <w:p w14:paraId="5B37D5AE" w14:textId="3036A138" w:rsidR="00E02096" w:rsidRDefault="00E02096" w:rsidP="006A4DEF">
      <w:pPr>
        <w:pStyle w:val="Heading2"/>
        <w:numPr>
          <w:ilvl w:val="0"/>
          <w:numId w:val="12"/>
        </w:numPr>
        <w:rPr>
          <w:color w:val="548DD4" w:themeColor="text2" w:themeTint="99"/>
        </w:rPr>
      </w:pPr>
      <w:r>
        <w:rPr>
          <w:color w:val="548DD4" w:themeColor="text2" w:themeTint="99"/>
        </w:rPr>
        <w:t xml:space="preserve">Режим на минимална помощ </w:t>
      </w:r>
    </w:p>
    <w:p w14:paraId="7F8E26BC" w14:textId="77777777" w:rsidR="00B52951" w:rsidRPr="00B52951" w:rsidRDefault="00B52951" w:rsidP="00947F3C">
      <w:pPr>
        <w:spacing w:before="120" w:after="120"/>
        <w:jc w:val="both"/>
        <w:rPr>
          <w:sz w:val="24"/>
          <w:szCs w:val="24"/>
        </w:rPr>
      </w:pPr>
      <w:r w:rsidRPr="00B52951">
        <w:rPr>
          <w:sz w:val="24"/>
          <w:szCs w:val="24"/>
        </w:rPr>
        <w:t xml:space="preserve">Максималният размер на помощта по режим </w:t>
      </w:r>
      <w:proofErr w:type="spellStart"/>
      <w:r w:rsidRPr="00B52951">
        <w:rPr>
          <w:sz w:val="24"/>
          <w:szCs w:val="24"/>
        </w:rPr>
        <w:t>de</w:t>
      </w:r>
      <w:proofErr w:type="spellEnd"/>
      <w:r w:rsidRPr="00B52951">
        <w:rPr>
          <w:sz w:val="24"/>
          <w:szCs w:val="24"/>
        </w:rPr>
        <w:t xml:space="preserve"> </w:t>
      </w:r>
      <w:proofErr w:type="spellStart"/>
      <w:r w:rsidRPr="00B52951">
        <w:rPr>
          <w:sz w:val="24"/>
          <w:szCs w:val="24"/>
        </w:rPr>
        <w:t>minimis</w:t>
      </w:r>
      <w:proofErr w:type="spellEnd"/>
      <w:r w:rsidRPr="00B52951">
        <w:rPr>
          <w:sz w:val="24"/>
          <w:szCs w:val="24"/>
        </w:rPr>
        <w:t>,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B52951">
        <w:rPr>
          <w:sz w:val="24"/>
          <w:szCs w:val="24"/>
          <w:vertAlign w:val="superscript"/>
        </w:rPr>
        <w:footnoteReference w:id="2"/>
      </w:r>
      <w:r w:rsidRPr="00B52951">
        <w:rPr>
          <w:sz w:val="24"/>
          <w:szCs w:val="24"/>
        </w:rPr>
        <w:t xml:space="preserve"> , което осъществява автомобилни товарни превози за чужда сметка за период от три приключени бюджетни години – текущата и предходните две.</w:t>
      </w:r>
    </w:p>
    <w:p w14:paraId="0B70FC3A" w14:textId="77777777" w:rsidR="00B52951" w:rsidRPr="00B52951" w:rsidRDefault="00B52951" w:rsidP="00947F3C">
      <w:pPr>
        <w:spacing w:before="120" w:after="120"/>
        <w:jc w:val="both"/>
        <w:rPr>
          <w:sz w:val="24"/>
          <w:szCs w:val="24"/>
        </w:rPr>
      </w:pPr>
      <w:r w:rsidRPr="00B52951">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w:t>
      </w:r>
      <w:r w:rsidRPr="00B52951">
        <w:rPr>
          <w:sz w:val="24"/>
          <w:szCs w:val="24"/>
          <w:lang w:val="en-GB"/>
        </w:rPr>
        <w:t>EUR</w:t>
      </w:r>
      <w:r w:rsidRPr="00B52951">
        <w:rPr>
          <w:sz w:val="24"/>
          <w:szCs w:val="24"/>
        </w:rPr>
        <w:t xml:space="preserve">, таванът от 200 000 </w:t>
      </w:r>
      <w:r w:rsidRPr="00B52951">
        <w:rPr>
          <w:sz w:val="24"/>
          <w:szCs w:val="24"/>
          <w:lang w:val="en-GB"/>
        </w:rPr>
        <w:t>EUR</w:t>
      </w:r>
      <w:r w:rsidRPr="00B52951">
        <w:rPr>
          <w:sz w:val="24"/>
          <w:szCs w:val="24"/>
        </w:rPr>
        <w:t xml:space="preserve">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100 000 </w:t>
      </w:r>
      <w:r w:rsidRPr="00B52951">
        <w:rPr>
          <w:sz w:val="24"/>
          <w:szCs w:val="24"/>
          <w:lang w:val="en-GB"/>
        </w:rPr>
        <w:t>EUR</w:t>
      </w:r>
      <w:r w:rsidRPr="00B52951">
        <w:rPr>
          <w:sz w:val="24"/>
          <w:szCs w:val="24"/>
        </w:rPr>
        <w:t xml:space="preserve"> и че помощите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не се използват за придобиване на товарни автомобили. </w:t>
      </w:r>
    </w:p>
    <w:p w14:paraId="0888EF5A" w14:textId="77777777" w:rsidR="00B52951" w:rsidRPr="00B52951" w:rsidRDefault="00B52951" w:rsidP="00947F3C">
      <w:pPr>
        <w:spacing w:before="120" w:after="120"/>
        <w:jc w:val="both"/>
        <w:rPr>
          <w:sz w:val="24"/>
          <w:szCs w:val="24"/>
        </w:rPr>
      </w:pPr>
      <w:r w:rsidRPr="00B52951">
        <w:rPr>
          <w:sz w:val="24"/>
          <w:szCs w:val="24"/>
        </w:rPr>
        <w:t xml:space="preserve">Таваните, посочени в чл. 3, параграф 2 на Регламент (ЕС) № 1407/2013, се прилагат независимо от формата на помощта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w:t>
      </w:r>
      <w:r w:rsidRPr="00B52951">
        <w:rPr>
          <w:sz w:val="24"/>
          <w:szCs w:val="24"/>
        </w:rPr>
        <w:lastRenderedPageBreak/>
        <w:t>Периодът от три бюджетни години се определя според бюджетните години, използвани от предприятието в съответната държава членка.</w:t>
      </w:r>
    </w:p>
    <w:p w14:paraId="0852FE9B" w14:textId="77777777" w:rsidR="00B52951" w:rsidRPr="00B52951" w:rsidRDefault="00B52951" w:rsidP="00947F3C">
      <w:pPr>
        <w:spacing w:before="120" w:after="120"/>
        <w:jc w:val="both"/>
        <w:rPr>
          <w:sz w:val="24"/>
          <w:szCs w:val="24"/>
        </w:rPr>
      </w:pPr>
      <w:r w:rsidRPr="00B52951">
        <w:rPr>
          <w:sz w:val="24"/>
          <w:szCs w:val="24"/>
        </w:rPr>
        <w:t>Предоставената по настоящата процедура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съгласно Регламент (ЕС) № 1407/2013 може да се </w:t>
      </w:r>
      <w:proofErr w:type="spellStart"/>
      <w:r w:rsidRPr="00B52951">
        <w:rPr>
          <w:sz w:val="24"/>
          <w:szCs w:val="24"/>
        </w:rPr>
        <w:t>кумулира</w:t>
      </w:r>
      <w:proofErr w:type="spellEnd"/>
      <w:r w:rsidRPr="00B52951">
        <w:rPr>
          <w:sz w:val="24"/>
          <w:szCs w:val="24"/>
        </w:rPr>
        <w:t xml:space="preserve"> с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w:t>
      </w:r>
    </w:p>
    <w:p w14:paraId="72FE288B" w14:textId="289F1502" w:rsidR="00B52951" w:rsidRPr="00947F3C" w:rsidRDefault="00B52951" w:rsidP="00947F3C">
      <w:pPr>
        <w:pStyle w:val="ListParagraph"/>
        <w:numPr>
          <w:ilvl w:val="0"/>
          <w:numId w:val="18"/>
        </w:numPr>
        <w:spacing w:before="120" w:after="120"/>
        <w:jc w:val="both"/>
        <w:rPr>
          <w:sz w:val="24"/>
          <w:szCs w:val="24"/>
        </w:rPr>
      </w:pPr>
      <w:r w:rsidRPr="00947F3C">
        <w:rPr>
          <w:sz w:val="24"/>
          <w:szCs w:val="24"/>
        </w:rPr>
        <w:t>предоставена съгласно Регламент (ЕС) № 360/2012 на Комисията до тавана, установен в посочения регламент;</w:t>
      </w:r>
    </w:p>
    <w:p w14:paraId="1B664B18" w14:textId="27BACF49" w:rsidR="00B52951" w:rsidRPr="00947F3C" w:rsidRDefault="00B52951" w:rsidP="00947F3C">
      <w:pPr>
        <w:pStyle w:val="ListParagraph"/>
        <w:numPr>
          <w:ilvl w:val="0"/>
          <w:numId w:val="18"/>
        </w:numPr>
        <w:spacing w:before="120" w:after="120"/>
        <w:jc w:val="both"/>
        <w:rPr>
          <w:sz w:val="24"/>
          <w:szCs w:val="24"/>
        </w:rPr>
      </w:pPr>
      <w:r w:rsidRPr="00947F3C">
        <w:rPr>
          <w:sz w:val="24"/>
          <w:szCs w:val="24"/>
        </w:rPr>
        <w:t xml:space="preserve">предоставена съгласно други регламенти за помощ </w:t>
      </w:r>
      <w:r w:rsidRPr="00947F3C">
        <w:rPr>
          <w:sz w:val="24"/>
          <w:szCs w:val="24"/>
          <w:lang w:val="en-GB"/>
        </w:rPr>
        <w:t>de</w:t>
      </w:r>
      <w:r w:rsidRPr="00947F3C">
        <w:rPr>
          <w:sz w:val="24"/>
          <w:szCs w:val="24"/>
        </w:rPr>
        <w:t xml:space="preserve"> </w:t>
      </w:r>
      <w:proofErr w:type="spellStart"/>
      <w:r w:rsidRPr="00947F3C">
        <w:rPr>
          <w:sz w:val="24"/>
          <w:szCs w:val="24"/>
          <w:lang w:val="en-GB"/>
        </w:rPr>
        <w:t>minimis</w:t>
      </w:r>
      <w:proofErr w:type="spellEnd"/>
      <w:r w:rsidRPr="00947F3C">
        <w:rPr>
          <w:sz w:val="24"/>
          <w:szCs w:val="24"/>
        </w:rPr>
        <w:t>, до съответния таван, определен в член 3, параграф 2 от Регламент (ЕС) № 1407/2013.</w:t>
      </w:r>
    </w:p>
    <w:p w14:paraId="3E5B8F17" w14:textId="77777777" w:rsidR="00B52951" w:rsidRPr="00B52951" w:rsidRDefault="00B52951" w:rsidP="00B52951">
      <w:pPr>
        <w:tabs>
          <w:tab w:val="left" w:pos="284"/>
        </w:tabs>
        <w:spacing w:before="120" w:after="120"/>
        <w:jc w:val="both"/>
        <w:rPr>
          <w:sz w:val="24"/>
          <w:szCs w:val="24"/>
        </w:rPr>
      </w:pPr>
      <w:r w:rsidRPr="00B52951">
        <w:rPr>
          <w:b/>
          <w:bCs/>
          <w:sz w:val="24"/>
          <w:szCs w:val="24"/>
        </w:rPr>
        <w:t xml:space="preserve">Система за наблюдение на натрупването на помощи: </w:t>
      </w:r>
    </w:p>
    <w:p w14:paraId="598D481C"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Да не се допуска общият размер на минималната помощ, предоставяна на „едно и също предприятие“</w:t>
      </w:r>
      <w:r w:rsidRPr="00B52951">
        <w:rPr>
          <w:sz w:val="24"/>
          <w:szCs w:val="24"/>
          <w:vertAlign w:val="superscript"/>
          <w:lang w:val="en-GB"/>
        </w:rPr>
        <w:footnoteReference w:id="3"/>
      </w:r>
      <w:r w:rsidRPr="00B52951">
        <w:rPr>
          <w:b/>
          <w:bCs/>
          <w:sz w:val="24"/>
          <w:szCs w:val="24"/>
        </w:rPr>
        <w:t xml:space="preserve"> </w:t>
      </w:r>
      <w:r w:rsidRPr="00B52951">
        <w:rPr>
          <w:sz w:val="24"/>
          <w:szCs w:val="24"/>
        </w:rPr>
        <w:t>в България след натрупване с други минимални помощи, получени от предприятието за три поредни приключени бюджетни години да надхвърли левовата равностойност на 200 000 евро, а за отрасъл „шосеен транспорт” - левовата равностойност на 100 000 евро.</w:t>
      </w:r>
    </w:p>
    <w:p w14:paraId="1C144373" w14:textId="6580A5C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Последствията при не</w:t>
      </w:r>
      <w:r w:rsidR="00EB0A10">
        <w:rPr>
          <w:sz w:val="24"/>
          <w:szCs w:val="24"/>
        </w:rPr>
        <w:t>спазване на забраната по т.„1” -</w:t>
      </w:r>
      <w:r w:rsidRPr="00B52951">
        <w:rPr>
          <w:sz w:val="24"/>
          <w:szCs w:val="24"/>
        </w:rPr>
        <w:t xml:space="preserve"> отказване на помощта, служебно намаляване на помощта или възстановяване на неправомерно предоставена помощ по реда на Данъчно-осигурителния процесуален кодекс.</w:t>
      </w:r>
    </w:p>
    <w:p w14:paraId="506C4E1F"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Изискване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приключени бюджетни години и през текущата година;</w:t>
      </w:r>
    </w:p>
    <w:p w14:paraId="65FDCFB4"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Проекта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Данъчно-осигурителния процесуален кодекс;</w:t>
      </w:r>
    </w:p>
    <w:p w14:paraId="5516216D"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 xml:space="preserve">Изисквания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финансова година и през двете предшестващи приключени бюджетни години и дали с настоящата безвъзмездна помощ ще бъде надхвърлен тавана за помощта </w:t>
      </w:r>
      <w:r w:rsidRPr="00B52951">
        <w:rPr>
          <w:i/>
          <w:iCs/>
          <w:sz w:val="24"/>
          <w:szCs w:val="24"/>
          <w:lang w:val="en-GB"/>
        </w:rPr>
        <w:t>de</w:t>
      </w:r>
      <w:r w:rsidRPr="00B52951">
        <w:rPr>
          <w:i/>
          <w:iCs/>
          <w:sz w:val="24"/>
          <w:szCs w:val="24"/>
        </w:rPr>
        <w:t xml:space="preserve"> </w:t>
      </w:r>
      <w:proofErr w:type="spellStart"/>
      <w:r w:rsidRPr="00B52951">
        <w:rPr>
          <w:i/>
          <w:iCs/>
          <w:sz w:val="24"/>
          <w:szCs w:val="24"/>
          <w:lang w:val="en-GB"/>
        </w:rPr>
        <w:t>minimis</w:t>
      </w:r>
      <w:proofErr w:type="spellEnd"/>
      <w:r w:rsidRPr="00B52951">
        <w:rPr>
          <w:i/>
          <w:iCs/>
          <w:sz w:val="24"/>
          <w:szCs w:val="24"/>
        </w:rPr>
        <w:t>.</w:t>
      </w:r>
    </w:p>
    <w:p w14:paraId="4D0D4829" w14:textId="77777777" w:rsidR="00B52951" w:rsidRPr="00B52951" w:rsidRDefault="00B52951" w:rsidP="00B52951">
      <w:pPr>
        <w:tabs>
          <w:tab w:val="left" w:pos="284"/>
        </w:tabs>
        <w:spacing w:before="120" w:after="120"/>
        <w:jc w:val="both"/>
        <w:rPr>
          <w:sz w:val="24"/>
          <w:szCs w:val="24"/>
        </w:rPr>
      </w:pPr>
      <w:r w:rsidRPr="00B52951">
        <w:rPr>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Pr="00B52951">
        <w:rPr>
          <w:sz w:val="24"/>
          <w:szCs w:val="24"/>
          <w:vertAlign w:val="superscript"/>
          <w:lang w:val="en-GB"/>
        </w:rPr>
        <w:footnoteReference w:id="4"/>
      </w:r>
      <w:r w:rsidRPr="00B52951">
        <w:rPr>
          <w:sz w:val="24"/>
          <w:szCs w:val="24"/>
        </w:rPr>
        <w:t xml:space="preserve"> на територията на Република България от:</w:t>
      </w:r>
    </w:p>
    <w:p w14:paraId="11962683" w14:textId="77777777" w:rsidR="00B52951" w:rsidRPr="00B52951" w:rsidRDefault="00B52951" w:rsidP="00B52951">
      <w:pPr>
        <w:widowControl/>
        <w:numPr>
          <w:ilvl w:val="0"/>
          <w:numId w:val="15"/>
        </w:numPr>
        <w:tabs>
          <w:tab w:val="left" w:pos="266"/>
        </w:tabs>
        <w:autoSpaceDE/>
        <w:autoSpaceDN/>
        <w:spacing w:before="120" w:after="120"/>
        <w:jc w:val="both"/>
        <w:rPr>
          <w:sz w:val="24"/>
          <w:szCs w:val="24"/>
          <w:lang w:val="en-GB"/>
        </w:rPr>
      </w:pPr>
      <w:proofErr w:type="spellStart"/>
      <w:r w:rsidRPr="00B52951">
        <w:rPr>
          <w:sz w:val="24"/>
          <w:szCs w:val="24"/>
          <w:lang w:val="en-GB"/>
        </w:rPr>
        <w:t>предприятието</w:t>
      </w:r>
      <w:proofErr w:type="spellEnd"/>
      <w:r w:rsidRPr="00B52951">
        <w:rPr>
          <w:sz w:val="24"/>
          <w:szCs w:val="24"/>
          <w:lang w:val="en-GB"/>
        </w:rPr>
        <w:t xml:space="preserve"> </w:t>
      </w:r>
      <w:proofErr w:type="spellStart"/>
      <w:r w:rsidRPr="00B52951">
        <w:rPr>
          <w:sz w:val="24"/>
          <w:szCs w:val="24"/>
          <w:lang w:val="en-GB"/>
        </w:rPr>
        <w:t>кандидат</w:t>
      </w:r>
      <w:proofErr w:type="spellEnd"/>
      <w:r w:rsidRPr="00B52951">
        <w:rPr>
          <w:sz w:val="24"/>
          <w:szCs w:val="24"/>
          <w:lang w:val="en-GB"/>
        </w:rPr>
        <w:t xml:space="preserve">; </w:t>
      </w:r>
    </w:p>
    <w:p w14:paraId="48502C5B"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lastRenderedPageBreak/>
        <w:t xml:space="preserve">предприятията, с които предприятието кандидат образува „едно и също предприятие“ по смисъла на чл. 2, </w:t>
      </w:r>
      <w:proofErr w:type="spellStart"/>
      <w:r w:rsidRPr="00947F3C">
        <w:rPr>
          <w:sz w:val="24"/>
          <w:szCs w:val="24"/>
        </w:rPr>
        <w:t>пар</w:t>
      </w:r>
      <w:proofErr w:type="spellEnd"/>
      <w:r w:rsidRPr="00947F3C">
        <w:rPr>
          <w:sz w:val="24"/>
          <w:szCs w:val="24"/>
        </w:rPr>
        <w:t xml:space="preserve">. 2 на Регламент (ЕС) № 1407/2013; </w:t>
      </w:r>
    </w:p>
    <w:p w14:paraId="46C284D0"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947F3C">
        <w:rPr>
          <w:sz w:val="24"/>
          <w:szCs w:val="24"/>
        </w:rPr>
        <w:t>пар</w:t>
      </w:r>
      <w:proofErr w:type="spellEnd"/>
      <w:r w:rsidRPr="00947F3C">
        <w:rPr>
          <w:sz w:val="24"/>
          <w:szCs w:val="24"/>
        </w:rPr>
        <w:t xml:space="preserve">. 8 на Регламент (ЕС) № 1407/2013; </w:t>
      </w:r>
    </w:p>
    <w:p w14:paraId="2F6DECAA"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предприятията, образуващи „едно и също предприятие“ с предприятието кандидат, които са се възползвали от помощ </w:t>
      </w:r>
      <w:proofErr w:type="spellStart"/>
      <w:r w:rsidRPr="00947F3C">
        <w:rPr>
          <w:sz w:val="24"/>
          <w:szCs w:val="24"/>
        </w:rPr>
        <w:t>de</w:t>
      </w:r>
      <w:proofErr w:type="spellEnd"/>
      <w:r w:rsidRPr="00947F3C">
        <w:rPr>
          <w:sz w:val="24"/>
          <w:szCs w:val="24"/>
        </w:rPr>
        <w:t xml:space="preserve"> </w:t>
      </w:r>
      <w:proofErr w:type="spellStart"/>
      <w:r w:rsidRPr="00947F3C">
        <w:rPr>
          <w:sz w:val="24"/>
          <w:szCs w:val="24"/>
        </w:rPr>
        <w:t>minimis</w:t>
      </w:r>
      <w:proofErr w:type="spellEnd"/>
      <w:r w:rsidRPr="00947F3C">
        <w:rPr>
          <w:sz w:val="24"/>
          <w:szCs w:val="24"/>
        </w:rPr>
        <w:t xml:space="preserve">, получена преди разделяне или отделяне, съгласно чл. 3, </w:t>
      </w:r>
      <w:proofErr w:type="spellStart"/>
      <w:r w:rsidRPr="00947F3C">
        <w:rPr>
          <w:sz w:val="24"/>
          <w:szCs w:val="24"/>
        </w:rPr>
        <w:t>пар</w:t>
      </w:r>
      <w:proofErr w:type="spellEnd"/>
      <w:r w:rsidRPr="00947F3C">
        <w:rPr>
          <w:sz w:val="24"/>
          <w:szCs w:val="24"/>
        </w:rPr>
        <w:t>. 9 от Регламент (ЕС) № 1407/2013.</w:t>
      </w:r>
    </w:p>
    <w:p w14:paraId="271D0C14" w14:textId="77777777" w:rsidR="00B52951" w:rsidRPr="00947F3C" w:rsidRDefault="00B52951" w:rsidP="00B52951">
      <w:pPr>
        <w:tabs>
          <w:tab w:val="left" w:pos="284"/>
        </w:tabs>
        <w:spacing w:before="120" w:after="120"/>
        <w:jc w:val="both"/>
        <w:rPr>
          <w:sz w:val="24"/>
          <w:szCs w:val="24"/>
        </w:rPr>
      </w:pPr>
      <w:r w:rsidRPr="00947F3C">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отделя дейностите или разграничава разходите за дейността по автомобилни товарни превози, която не може да надвишава 100 000 EUR. Когато с отпускането на нова помощ e надвишен </w:t>
      </w:r>
      <w:proofErr w:type="spellStart"/>
      <w:r w:rsidRPr="00947F3C">
        <w:rPr>
          <w:sz w:val="24"/>
          <w:szCs w:val="24"/>
        </w:rPr>
        <w:t>таванa</w:t>
      </w:r>
      <w:proofErr w:type="spellEnd"/>
      <w:r w:rsidRPr="00947F3C">
        <w:rPr>
          <w:sz w:val="24"/>
          <w:szCs w:val="24"/>
        </w:rPr>
        <w:t xml:space="preserve">, цялата нова помощ не може да бъде предоставяна. </w:t>
      </w:r>
    </w:p>
    <w:p w14:paraId="20651856" w14:textId="77777777" w:rsidR="00B52951" w:rsidRPr="00947F3C" w:rsidRDefault="00B52951" w:rsidP="00B52951">
      <w:pPr>
        <w:tabs>
          <w:tab w:val="left" w:pos="284"/>
        </w:tabs>
        <w:spacing w:before="120" w:after="120"/>
        <w:jc w:val="both"/>
        <w:rPr>
          <w:sz w:val="24"/>
          <w:szCs w:val="24"/>
        </w:rPr>
      </w:pPr>
      <w:r w:rsidRPr="00947F3C">
        <w:rPr>
          <w:sz w:val="24"/>
          <w:szCs w:val="24"/>
        </w:rPr>
        <w:t>За проверка на горните обстоятелства данните за получени минимални помощи трябва да бъдат надлежно посочени от кандидатите в Декларация за минимални помощи, попълнена по образец, част от Условията за кандидатстване.</w:t>
      </w:r>
    </w:p>
    <w:p w14:paraId="61635024" w14:textId="77777777" w:rsidR="00B52951" w:rsidRPr="00947F3C" w:rsidRDefault="00B52951" w:rsidP="00B52951">
      <w:pPr>
        <w:tabs>
          <w:tab w:val="left" w:pos="284"/>
        </w:tabs>
        <w:spacing w:before="120" w:after="120"/>
        <w:jc w:val="both"/>
        <w:rPr>
          <w:sz w:val="24"/>
          <w:szCs w:val="24"/>
        </w:rPr>
      </w:pPr>
      <w:r w:rsidRPr="00947F3C">
        <w:rPr>
          <w:sz w:val="24"/>
          <w:szCs w:val="24"/>
        </w:rPr>
        <w:t>Декларацията за минимални помощи се представя от кандидатите на етап кандидатстване и преди сключване на Административния договор за безвъзмездна финансова помощ.</w:t>
      </w:r>
    </w:p>
    <w:p w14:paraId="3A06580F" w14:textId="77777777" w:rsidR="00B52951" w:rsidRPr="00947F3C" w:rsidRDefault="00B52951" w:rsidP="00B52951">
      <w:pPr>
        <w:tabs>
          <w:tab w:val="left" w:pos="284"/>
        </w:tabs>
        <w:spacing w:before="120" w:after="120"/>
        <w:jc w:val="both"/>
        <w:rPr>
          <w:sz w:val="24"/>
          <w:szCs w:val="24"/>
        </w:rPr>
      </w:pPr>
      <w:r w:rsidRPr="00947F3C">
        <w:rPr>
          <w:sz w:val="24"/>
          <w:szCs w:val="24"/>
        </w:rPr>
        <w:t>Администратор на помощта е УО на ОПИК.</w:t>
      </w:r>
    </w:p>
    <w:p w14:paraId="206D0F44" w14:textId="77777777" w:rsidR="00B52951" w:rsidRPr="00947F3C" w:rsidRDefault="00B52951" w:rsidP="00947F3C">
      <w:pPr>
        <w:pStyle w:val="Default"/>
        <w:spacing w:before="120" w:after="120"/>
        <w:jc w:val="both"/>
        <w:rPr>
          <w:lang w:val="bg-BG"/>
        </w:rPr>
      </w:pPr>
      <w:r w:rsidRPr="00947F3C">
        <w:rPr>
          <w:lang w:val="bg-BG"/>
        </w:rPr>
        <w:t xml:space="preserve">Възстановяването на неправомерно предоставена помощ се извършва по реда на чл. 37 на Закона за държавните помощи. </w:t>
      </w:r>
    </w:p>
    <w:p w14:paraId="12EF790D" w14:textId="77777777" w:rsidR="00B52951" w:rsidRPr="00B52951" w:rsidRDefault="00B52951" w:rsidP="00947F3C">
      <w:pPr>
        <w:pStyle w:val="Default"/>
        <w:spacing w:before="120" w:after="120"/>
        <w:jc w:val="both"/>
        <w:rPr>
          <w:lang w:val="bg-BG"/>
        </w:rPr>
      </w:pPr>
      <w:r w:rsidRPr="00947F3C">
        <w:rPr>
          <w:lang w:val="bg-BG"/>
        </w:rPr>
        <w:t>След публикуване на Условията за кандидатстване не са допустими изменения, които могат да повлияят на съответствието на процедурата</w:t>
      </w:r>
      <w:r w:rsidRPr="00B52951">
        <w:rPr>
          <w:lang w:val="bg-BG"/>
        </w:rPr>
        <w:t xml:space="preserve"> с изискванията на Регламент на Комисията (ЕС) № 1407/2013. </w:t>
      </w:r>
    </w:p>
    <w:p w14:paraId="080396EE" w14:textId="77777777" w:rsidR="00B52951" w:rsidRPr="00B52951" w:rsidRDefault="00B52951" w:rsidP="00947F3C">
      <w:pPr>
        <w:pStyle w:val="Default"/>
        <w:spacing w:before="120" w:after="120"/>
        <w:jc w:val="both"/>
        <w:rPr>
          <w:lang w:val="bg-BG"/>
        </w:rPr>
      </w:pPr>
      <w:r w:rsidRPr="00B52951">
        <w:rPr>
          <w:lang w:val="bg-BG"/>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10" w:history="1">
        <w:r w:rsidRPr="00B52951">
          <w:rPr>
            <w:rStyle w:val="Hyperlink"/>
            <w:lang w:val="en-GB"/>
          </w:rPr>
          <w:t>http</w:t>
        </w:r>
        <w:r w:rsidRPr="00B52951">
          <w:rPr>
            <w:rStyle w:val="Hyperlink"/>
            <w:lang w:val="bg-BG"/>
          </w:rPr>
          <w:t>://</w:t>
        </w:r>
        <w:proofErr w:type="spellStart"/>
        <w:r w:rsidRPr="00B52951">
          <w:rPr>
            <w:rStyle w:val="Hyperlink"/>
            <w:lang w:val="en-GB"/>
          </w:rPr>
          <w:t>stateaid</w:t>
        </w:r>
        <w:proofErr w:type="spellEnd"/>
        <w:r w:rsidRPr="00B52951">
          <w:rPr>
            <w:rStyle w:val="Hyperlink"/>
            <w:lang w:val="bg-BG"/>
          </w:rPr>
          <w:t>.</w:t>
        </w:r>
        <w:proofErr w:type="spellStart"/>
        <w:r w:rsidRPr="00B52951">
          <w:rPr>
            <w:rStyle w:val="Hyperlink"/>
            <w:lang w:val="en-GB"/>
          </w:rPr>
          <w:t>minfin</w:t>
        </w:r>
        <w:proofErr w:type="spellEnd"/>
        <w:r w:rsidRPr="00B52951">
          <w:rPr>
            <w:rStyle w:val="Hyperlink"/>
            <w:lang w:val="bg-BG"/>
          </w:rPr>
          <w:t>.</w:t>
        </w:r>
        <w:proofErr w:type="spellStart"/>
        <w:r w:rsidRPr="00B52951">
          <w:rPr>
            <w:rStyle w:val="Hyperlink"/>
            <w:lang w:val="en-GB"/>
          </w:rPr>
          <w:t>bg</w:t>
        </w:r>
        <w:proofErr w:type="spellEnd"/>
        <w:r w:rsidRPr="00B52951">
          <w:rPr>
            <w:rStyle w:val="Hyperlink"/>
            <w:lang w:val="bg-BG"/>
          </w:rPr>
          <w:t>/</w:t>
        </w:r>
      </w:hyperlink>
    </w:p>
    <w:p w14:paraId="18E76158" w14:textId="77777777" w:rsidR="00B52951" w:rsidRDefault="00B52951" w:rsidP="00B52951">
      <w:pPr>
        <w:pStyle w:val="Heading2"/>
        <w:ind w:left="0"/>
        <w:rPr>
          <w:color w:val="548DD4" w:themeColor="text2" w:themeTint="99"/>
        </w:rPr>
      </w:pPr>
    </w:p>
    <w:p w14:paraId="45BD8A1E" w14:textId="63639E42" w:rsidR="00BA633A" w:rsidRPr="006A4DEF" w:rsidRDefault="00BA633A" w:rsidP="006A4DEF">
      <w:pPr>
        <w:pStyle w:val="Heading2"/>
        <w:numPr>
          <w:ilvl w:val="0"/>
          <w:numId w:val="12"/>
        </w:numPr>
        <w:rPr>
          <w:color w:val="548DD4" w:themeColor="text2" w:themeTint="99"/>
        </w:rPr>
      </w:pPr>
      <w:r w:rsidRPr="006A4DEF">
        <w:rPr>
          <w:color w:val="548DD4" w:themeColor="text2" w:themeTint="99"/>
        </w:rPr>
        <w:t>Допустими дейности</w:t>
      </w:r>
    </w:p>
    <w:p w14:paraId="66D46A00" w14:textId="77777777" w:rsidR="006A4DEF" w:rsidRDefault="006A4DEF">
      <w:pPr>
        <w:pStyle w:val="BodyText"/>
      </w:pPr>
    </w:p>
    <w:p w14:paraId="5E920B3F" w14:textId="12411BCE" w:rsidR="00BA633A" w:rsidRDefault="00BA633A" w:rsidP="00947F3C">
      <w:pPr>
        <w:pStyle w:val="BodyText"/>
        <w:jc w:val="both"/>
        <w:rPr>
          <w:b/>
          <w:bCs/>
        </w:rPr>
      </w:pPr>
      <w:r w:rsidRPr="00BA633A">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резултати на Инвестиционен приоритет 1.1 „Технологично развитие и иновации“ от Приоритетна ос 1 на ОПИК, при най- адекватното съотношение между очакваните разходи и ползи</w:t>
      </w:r>
      <w:r>
        <w:t>.</w:t>
      </w:r>
    </w:p>
    <w:p w14:paraId="25CE9A45" w14:textId="77777777" w:rsidR="00BA633A" w:rsidRPr="00BA633A" w:rsidRDefault="00BA633A">
      <w:pPr>
        <w:pStyle w:val="BodyText"/>
        <w:rPr>
          <w:b/>
          <w:bCs/>
        </w:rPr>
      </w:pPr>
    </w:p>
    <w:p w14:paraId="7839249B" w14:textId="38D19CF3" w:rsidR="00BA633A" w:rsidRDefault="00BA633A" w:rsidP="00947F3C">
      <w:pPr>
        <w:pStyle w:val="Heading3"/>
        <w:spacing w:before="0" w:after="120"/>
        <w:ind w:left="0" w:right="227"/>
        <w:jc w:val="both"/>
      </w:pPr>
      <w:r w:rsidRPr="00BA633A">
        <w:t>Всички дейности, включени в проектно предложение, следва да са пряко свързани с изпълнението на проекта.</w:t>
      </w:r>
    </w:p>
    <w:p w14:paraId="0E0212BC" w14:textId="41DC0F5F" w:rsidR="00BA633A" w:rsidRPr="00206907" w:rsidRDefault="00BA633A" w:rsidP="00206907">
      <w:pPr>
        <w:pStyle w:val="ListParagraph"/>
        <w:numPr>
          <w:ilvl w:val="0"/>
          <w:numId w:val="8"/>
        </w:numPr>
        <w:spacing w:after="120"/>
        <w:jc w:val="both"/>
        <w:rPr>
          <w:bCs/>
          <w:sz w:val="24"/>
          <w:szCs w:val="24"/>
        </w:rPr>
      </w:pPr>
      <w:r w:rsidRPr="00206907">
        <w:rPr>
          <w:bCs/>
          <w:sz w:val="24"/>
          <w:szCs w:val="24"/>
        </w:rPr>
        <w:t>Придобиване на ново оборудване, необходимо за внедряване в производството на иновативната продуктова и/или производствена иновация.</w:t>
      </w:r>
    </w:p>
    <w:p w14:paraId="00957CBC" w14:textId="552D2918" w:rsidR="00BA633A" w:rsidRPr="00947F3C" w:rsidRDefault="00BA633A" w:rsidP="00206907">
      <w:pPr>
        <w:pStyle w:val="ListParagraph"/>
        <w:numPr>
          <w:ilvl w:val="0"/>
          <w:numId w:val="8"/>
        </w:numPr>
        <w:spacing w:after="120"/>
        <w:jc w:val="both"/>
        <w:rPr>
          <w:bCs/>
          <w:sz w:val="24"/>
          <w:szCs w:val="24"/>
        </w:rPr>
      </w:pPr>
      <w:r w:rsidRPr="00206907">
        <w:rPr>
          <w:bCs/>
          <w:sz w:val="24"/>
          <w:szCs w:val="24"/>
        </w:rPr>
        <w:t xml:space="preserve">Придобиване на права на интелектуална собственост върху иновациите, които ще бъдат подкрепяни по </w:t>
      </w:r>
      <w:r w:rsidRPr="00947F3C">
        <w:rPr>
          <w:sz w:val="24"/>
          <w:szCs w:val="24"/>
        </w:rPr>
        <w:t>процедурата</w:t>
      </w:r>
      <w:r w:rsidRPr="00947F3C">
        <w:rPr>
          <w:bCs/>
          <w:sz w:val="24"/>
          <w:szCs w:val="24"/>
        </w:rPr>
        <w:t>.</w:t>
      </w:r>
    </w:p>
    <w:p w14:paraId="01DEE1E3" w14:textId="2FF5984B" w:rsidR="00BA633A" w:rsidRPr="00206907" w:rsidRDefault="00BA633A" w:rsidP="00206907">
      <w:pPr>
        <w:pStyle w:val="ListParagraph"/>
        <w:numPr>
          <w:ilvl w:val="0"/>
          <w:numId w:val="8"/>
        </w:numPr>
        <w:spacing w:after="120"/>
        <w:jc w:val="both"/>
        <w:rPr>
          <w:bCs/>
          <w:sz w:val="24"/>
          <w:szCs w:val="24"/>
        </w:rPr>
      </w:pPr>
      <w:r w:rsidRPr="00206907">
        <w:rPr>
          <w:bCs/>
          <w:sz w:val="24"/>
          <w:szCs w:val="24"/>
        </w:rPr>
        <w:t>Придобиване/разработване на специализиран софтуер, необходим за внедряването на иновативната продуктова и/или производствена иновация.</w:t>
      </w:r>
    </w:p>
    <w:p w14:paraId="5E8C6DAC" w14:textId="67974D0A" w:rsidR="00BA633A" w:rsidRPr="00206907" w:rsidRDefault="00BA633A" w:rsidP="00206907">
      <w:pPr>
        <w:pStyle w:val="ListParagraph"/>
        <w:numPr>
          <w:ilvl w:val="0"/>
          <w:numId w:val="8"/>
        </w:numPr>
        <w:spacing w:after="120"/>
        <w:jc w:val="both"/>
        <w:rPr>
          <w:sz w:val="24"/>
          <w:szCs w:val="24"/>
        </w:rPr>
      </w:pPr>
      <w:r w:rsidRPr="00206907">
        <w:rPr>
          <w:bCs/>
          <w:sz w:val="24"/>
          <w:szCs w:val="24"/>
        </w:rPr>
        <w:t xml:space="preserve">Консултантски </w:t>
      </w:r>
      <w:r w:rsidRPr="00206907">
        <w:rPr>
          <w:sz w:val="24"/>
          <w:szCs w:val="24"/>
        </w:rPr>
        <w:t>и помощни услуги в подкрепа на иновациите.</w:t>
      </w:r>
    </w:p>
    <w:p w14:paraId="4C584B44" w14:textId="77777777" w:rsidR="00BA633A" w:rsidRPr="00FF085F" w:rsidRDefault="00BA633A" w:rsidP="00BA633A">
      <w:pPr>
        <w:spacing w:after="120"/>
        <w:contextualSpacing/>
        <w:jc w:val="both"/>
        <w:rPr>
          <w:b/>
          <w:sz w:val="24"/>
          <w:szCs w:val="24"/>
        </w:rPr>
      </w:pPr>
    </w:p>
    <w:p w14:paraId="724C50E2" w14:textId="77777777" w:rsidR="00BA633A" w:rsidRDefault="00BA633A" w:rsidP="006A4DEF">
      <w:pPr>
        <w:spacing w:after="120"/>
        <w:ind w:firstLine="360"/>
        <w:contextualSpacing/>
        <w:jc w:val="both"/>
        <w:rPr>
          <w:sz w:val="24"/>
          <w:szCs w:val="24"/>
        </w:rPr>
      </w:pPr>
      <w:r w:rsidRPr="00FF085F">
        <w:rPr>
          <w:b/>
          <w:i/>
          <w:sz w:val="24"/>
          <w:szCs w:val="24"/>
        </w:rPr>
        <w:lastRenderedPageBreak/>
        <w:t>Забележка:</w:t>
      </w:r>
      <w:r w:rsidRPr="00FF085F">
        <w:rPr>
          <w:sz w:val="24"/>
          <w:szCs w:val="24"/>
        </w:rPr>
        <w:t xml:space="preserve"> Консултантските услуги в подкрепа на иновациите може да включват: консултиране, подпомагане и обучение в областта на трансфера на знания; придобиването, защитата и експлоатацията на нематериални активи; използването на стандарти и на правила, които ги уреждат; „помощни услуги в подкрепа на иновациите“ означава осигуряване на  бази данни, библиотеки, пазарни проучвания, лаборатории, етикети за качество, изпитване и сертифициране с цел разработване на по-ефективн</w:t>
      </w:r>
      <w:r>
        <w:rPr>
          <w:sz w:val="24"/>
          <w:szCs w:val="24"/>
        </w:rPr>
        <w:t>и продукти, процеси или услуги.</w:t>
      </w:r>
    </w:p>
    <w:p w14:paraId="74C7DE7E" w14:textId="77777777" w:rsidR="00BA633A" w:rsidRDefault="00BA633A" w:rsidP="00BA633A">
      <w:pPr>
        <w:spacing w:after="120"/>
        <w:contextualSpacing/>
        <w:jc w:val="both"/>
        <w:rPr>
          <w:sz w:val="24"/>
          <w:szCs w:val="24"/>
        </w:rPr>
      </w:pPr>
    </w:p>
    <w:p w14:paraId="32AF734C" w14:textId="77777777" w:rsidR="00BA633A" w:rsidRPr="00EE4695" w:rsidRDefault="00BA633A" w:rsidP="006A4DEF">
      <w:pPr>
        <w:spacing w:after="120"/>
        <w:ind w:firstLine="360"/>
        <w:jc w:val="both"/>
        <w:rPr>
          <w:b/>
          <w:i/>
          <w:sz w:val="24"/>
          <w:szCs w:val="24"/>
        </w:rPr>
      </w:pPr>
      <w:r w:rsidRPr="00EE4695">
        <w:rPr>
          <w:b/>
          <w:sz w:val="24"/>
          <w:szCs w:val="24"/>
        </w:rPr>
        <w:t>Консултантски услуги в подкрепа на иновациите включват</w:t>
      </w:r>
      <w:r w:rsidRPr="00EE4695">
        <w:rPr>
          <w:b/>
          <w:i/>
          <w:sz w:val="24"/>
          <w:szCs w:val="24"/>
        </w:rPr>
        <w:t>:</w:t>
      </w:r>
    </w:p>
    <w:p w14:paraId="0FE6F744" w14:textId="77777777" w:rsidR="00BA633A" w:rsidRPr="00EE4695" w:rsidRDefault="00BA633A" w:rsidP="00BA633A">
      <w:pPr>
        <w:spacing w:after="120"/>
        <w:jc w:val="both"/>
        <w:rPr>
          <w:b/>
          <w:i/>
          <w:sz w:val="24"/>
          <w:szCs w:val="24"/>
        </w:rPr>
      </w:pPr>
      <w:r w:rsidRPr="00EE4695">
        <w:rPr>
          <w:b/>
          <w:i/>
          <w:sz w:val="24"/>
          <w:szCs w:val="24"/>
        </w:rPr>
        <w:t xml:space="preserve">- </w:t>
      </w:r>
      <w:r w:rsidRPr="00EE4695">
        <w:rPr>
          <w:b/>
          <w:sz w:val="24"/>
          <w:szCs w:val="24"/>
        </w:rPr>
        <w:t>консултиране, подпомагане и обучение в областта на трансфера на знания</w:t>
      </w:r>
      <w:r w:rsidRPr="00EE4695">
        <w:rPr>
          <w:sz w:val="24"/>
          <w:szCs w:val="24"/>
        </w:rPr>
        <w:t>, като например: консултантски услуги във връзка с осъществяване на трансфера на знания, генериран по проекта, подпомагане на внедряването в производство на придобитите в рамките на проекта права по интелектуална собственост, обучения във връзка с осъществяване на трансфер на</w:t>
      </w:r>
      <w:r w:rsidRPr="00EE4695">
        <w:rPr>
          <w:spacing w:val="-4"/>
          <w:sz w:val="24"/>
          <w:szCs w:val="24"/>
        </w:rPr>
        <w:t xml:space="preserve"> </w:t>
      </w:r>
      <w:r w:rsidRPr="00EE4695">
        <w:rPr>
          <w:sz w:val="24"/>
          <w:szCs w:val="24"/>
        </w:rPr>
        <w:t>знания;</w:t>
      </w:r>
    </w:p>
    <w:p w14:paraId="2AA89836" w14:textId="77777777" w:rsidR="00BA633A" w:rsidRPr="00EE4695" w:rsidRDefault="00BA633A" w:rsidP="00BA633A">
      <w:pPr>
        <w:spacing w:after="120"/>
        <w:jc w:val="both"/>
        <w:rPr>
          <w:b/>
          <w:i/>
          <w:sz w:val="24"/>
          <w:szCs w:val="24"/>
        </w:rPr>
      </w:pPr>
      <w:r w:rsidRPr="00EE4695">
        <w:rPr>
          <w:b/>
          <w:i/>
          <w:sz w:val="24"/>
          <w:szCs w:val="24"/>
        </w:rPr>
        <w:t xml:space="preserve">- </w:t>
      </w:r>
      <w:r w:rsidRPr="00EE4695">
        <w:rPr>
          <w:b/>
          <w:sz w:val="24"/>
          <w:szCs w:val="24"/>
        </w:rPr>
        <w:t>консултиране, подпомагане и обучение в областта на придобиването, защитата и експлоатацията на нематериални активи</w:t>
      </w:r>
      <w:r w:rsidRPr="00EE4695">
        <w:rPr>
          <w:sz w:val="24"/>
          <w:szCs w:val="24"/>
        </w:rPr>
        <w:t>, като например: услуги, свързани със защита на интелектуална собственост на национално и международно равнище върху внедряваните по проекта иновативни продукти/процеси, вкл. проучвания, извършени от Патентно ведомство или правоспособен представител по индустриална собственост; превод и други дейности, извършени с цел придобиване на права в други страни; подготовка на заявка за патент, за регистрация на полезен модел на национално и международно равнище; услуги, свързани с получаване на защитен документ; услуги, свързани с експлоатацията на патент, полезен</w:t>
      </w:r>
      <w:r w:rsidRPr="00EE4695">
        <w:rPr>
          <w:spacing w:val="-6"/>
          <w:sz w:val="24"/>
          <w:szCs w:val="24"/>
        </w:rPr>
        <w:t xml:space="preserve"> </w:t>
      </w:r>
      <w:r w:rsidRPr="00EE4695">
        <w:rPr>
          <w:sz w:val="24"/>
          <w:szCs w:val="24"/>
        </w:rPr>
        <w:t>модел.</w:t>
      </w:r>
    </w:p>
    <w:p w14:paraId="20E4256A" w14:textId="77777777" w:rsidR="00BA633A" w:rsidRPr="00EE4695" w:rsidRDefault="00BA633A" w:rsidP="00BA633A">
      <w:pPr>
        <w:spacing w:after="120"/>
        <w:jc w:val="both"/>
        <w:rPr>
          <w:sz w:val="24"/>
          <w:szCs w:val="24"/>
        </w:rPr>
      </w:pPr>
      <w:r w:rsidRPr="00EE4695">
        <w:rPr>
          <w:sz w:val="24"/>
          <w:szCs w:val="24"/>
        </w:rPr>
        <w:t>Горепосочените дейности са допустими, в случай че са свързани с права по интелектуална собственост за иновации, които се подкрепят по проекта (вкл. придобити в рамките на проекта). Допустимите консултантски и юридически услуги не включват непредвидени разходи, възникнали по време на изпълнение на проекта</w:t>
      </w:r>
      <w:r w:rsidRPr="00EE4695">
        <w:rPr>
          <w:spacing w:val="-26"/>
          <w:sz w:val="24"/>
          <w:szCs w:val="24"/>
        </w:rPr>
        <w:t xml:space="preserve"> </w:t>
      </w:r>
      <w:r w:rsidRPr="00EE4695">
        <w:rPr>
          <w:sz w:val="24"/>
          <w:szCs w:val="24"/>
        </w:rPr>
        <w:t>и разходи, свързани със съдебни спорове по отношение на внедрявания иновативен продукт (стока или услуга) или процес.</w:t>
      </w:r>
    </w:p>
    <w:p w14:paraId="6B7C0628" w14:textId="77777777" w:rsidR="00BA633A" w:rsidRPr="00EE4695" w:rsidRDefault="00BA633A" w:rsidP="00BA633A">
      <w:pPr>
        <w:spacing w:after="120"/>
        <w:jc w:val="both"/>
        <w:rPr>
          <w:sz w:val="24"/>
          <w:szCs w:val="24"/>
        </w:rPr>
      </w:pPr>
      <w:r w:rsidRPr="00EE4695">
        <w:rPr>
          <w:sz w:val="24"/>
          <w:szCs w:val="24"/>
        </w:rPr>
        <w:t xml:space="preserve">- </w:t>
      </w:r>
      <w:r w:rsidRPr="00EE4695">
        <w:rPr>
          <w:b/>
          <w:sz w:val="24"/>
          <w:szCs w:val="24"/>
        </w:rPr>
        <w:t>консултиране, подпомагане и обучение в областта на използването на стандарти и на правилата, които ги уреждат</w:t>
      </w:r>
      <w:r w:rsidRPr="00EE4695">
        <w:rPr>
          <w:sz w:val="24"/>
          <w:szCs w:val="24"/>
        </w:rPr>
        <w:t>, като например: предоставяне на професионални съвети и консултации относно приложимите за иновативния продукт (стока или услуга) или процес директиви, регламенти, стандарти, включително услуги, пряко свързани с постигане на съответствие на продукти с европейски/международни</w:t>
      </w:r>
      <w:r w:rsidRPr="00EE4695">
        <w:rPr>
          <w:spacing w:val="-12"/>
          <w:sz w:val="24"/>
          <w:szCs w:val="24"/>
        </w:rPr>
        <w:t xml:space="preserve"> </w:t>
      </w:r>
      <w:r w:rsidRPr="00EE4695">
        <w:rPr>
          <w:sz w:val="24"/>
          <w:szCs w:val="24"/>
        </w:rPr>
        <w:t>стандарти.</w:t>
      </w:r>
    </w:p>
    <w:p w14:paraId="100524A5" w14:textId="77777777" w:rsidR="00BA633A" w:rsidRPr="00EE4695" w:rsidRDefault="00BA633A" w:rsidP="00BA633A">
      <w:pPr>
        <w:spacing w:after="120"/>
        <w:jc w:val="both"/>
        <w:rPr>
          <w:b/>
          <w:i/>
          <w:sz w:val="24"/>
          <w:szCs w:val="24"/>
        </w:rPr>
      </w:pPr>
      <w:r w:rsidRPr="00EE4695">
        <w:rPr>
          <w:b/>
          <w:sz w:val="24"/>
          <w:szCs w:val="24"/>
        </w:rPr>
        <w:t>Помощните услуги в подкрепа на иновациите включват</w:t>
      </w:r>
      <w:r w:rsidRPr="00EE4695">
        <w:rPr>
          <w:b/>
          <w:i/>
          <w:sz w:val="24"/>
          <w:szCs w:val="24"/>
        </w:rPr>
        <w:t>:</w:t>
      </w:r>
    </w:p>
    <w:p w14:paraId="305B8803" w14:textId="77777777" w:rsidR="00BA633A" w:rsidRPr="00EE4695" w:rsidRDefault="00BA633A" w:rsidP="00BA633A">
      <w:pPr>
        <w:spacing w:after="120"/>
        <w:jc w:val="both"/>
        <w:rPr>
          <w:sz w:val="24"/>
          <w:szCs w:val="24"/>
        </w:rPr>
      </w:pPr>
      <w:r w:rsidRPr="00EE4695">
        <w:rPr>
          <w:b/>
          <w:sz w:val="24"/>
          <w:szCs w:val="24"/>
        </w:rPr>
        <w:t>ВАЖНО</w:t>
      </w:r>
      <w:r w:rsidRPr="00EE4695">
        <w:rPr>
          <w:sz w:val="24"/>
          <w:szCs w:val="24"/>
        </w:rPr>
        <w:t>: Посочените примери за услуги в подкрепа на иновациите имат за цел да ориентират кандидатите за възможните типове услуги, като не представляват изчерпателен списък на допустимите услуги в подкрепа на иновациите.</w:t>
      </w:r>
    </w:p>
    <w:p w14:paraId="427DAC2A" w14:textId="77777777" w:rsidR="00BA633A" w:rsidRPr="00EE4695" w:rsidRDefault="00BA633A" w:rsidP="00BA633A">
      <w:pPr>
        <w:spacing w:after="120"/>
        <w:jc w:val="both"/>
        <w:rPr>
          <w:sz w:val="24"/>
          <w:szCs w:val="24"/>
        </w:rPr>
      </w:pPr>
      <w:r w:rsidRPr="00EE4695">
        <w:rPr>
          <w:sz w:val="24"/>
          <w:szCs w:val="24"/>
        </w:rPr>
        <w:t xml:space="preserve">- </w:t>
      </w:r>
      <w:r w:rsidRPr="00EE4695">
        <w:rPr>
          <w:b/>
          <w:sz w:val="24"/>
          <w:szCs w:val="24"/>
        </w:rPr>
        <w:t>осигуряване на бази данни с цел разработване на по-ефективни продукти, процеси или услуги</w:t>
      </w:r>
      <w:r w:rsidRPr="00EE4695">
        <w:rPr>
          <w:sz w:val="24"/>
          <w:szCs w:val="24"/>
        </w:rPr>
        <w:t>, като например: осигуряване на достъп до бази данни, които да бъдат използвани във връзка с подобряването на внедрявания по проекта продукт (стока или услуга) или</w:t>
      </w:r>
      <w:r w:rsidRPr="00EE4695">
        <w:rPr>
          <w:spacing w:val="1"/>
          <w:sz w:val="24"/>
          <w:szCs w:val="24"/>
        </w:rPr>
        <w:t xml:space="preserve"> </w:t>
      </w:r>
      <w:r w:rsidRPr="00EE4695">
        <w:rPr>
          <w:sz w:val="24"/>
          <w:szCs w:val="24"/>
        </w:rPr>
        <w:t>процес;</w:t>
      </w:r>
    </w:p>
    <w:p w14:paraId="6A428F43" w14:textId="77777777" w:rsidR="00BA633A" w:rsidRPr="00EE4695" w:rsidRDefault="00BA633A" w:rsidP="00BA633A">
      <w:pPr>
        <w:spacing w:after="120"/>
        <w:jc w:val="both"/>
        <w:rPr>
          <w:sz w:val="24"/>
          <w:szCs w:val="24"/>
        </w:rPr>
      </w:pPr>
      <w:r w:rsidRPr="00EE4695">
        <w:rPr>
          <w:sz w:val="24"/>
          <w:szCs w:val="24"/>
        </w:rPr>
        <w:t xml:space="preserve">- </w:t>
      </w:r>
      <w:r w:rsidRPr="00EE4695">
        <w:rPr>
          <w:b/>
          <w:sz w:val="24"/>
          <w:szCs w:val="24"/>
        </w:rPr>
        <w:t>осигуряване на библиотеки с цел разработване на по-ефективни продукти, процеси или услуги</w:t>
      </w:r>
      <w:r w:rsidRPr="00EE4695">
        <w:rPr>
          <w:sz w:val="24"/>
          <w:szCs w:val="24"/>
        </w:rPr>
        <w:t>, като например: осигуряване на достъп до библиотеки, които да бъдат използвани във връзка с подобряването на внедрявания по проекта продукт (стока или услуга) или</w:t>
      </w:r>
      <w:r w:rsidRPr="00EE4695">
        <w:rPr>
          <w:spacing w:val="1"/>
          <w:sz w:val="24"/>
          <w:szCs w:val="24"/>
        </w:rPr>
        <w:t xml:space="preserve"> </w:t>
      </w:r>
      <w:r w:rsidRPr="00EE4695">
        <w:rPr>
          <w:sz w:val="24"/>
          <w:szCs w:val="24"/>
        </w:rPr>
        <w:t>процес;</w:t>
      </w:r>
    </w:p>
    <w:p w14:paraId="167EEC89" w14:textId="77777777" w:rsidR="00BA633A" w:rsidRPr="00EE4695" w:rsidRDefault="00BA633A" w:rsidP="00BA633A">
      <w:pPr>
        <w:spacing w:after="120"/>
        <w:jc w:val="both"/>
        <w:rPr>
          <w:sz w:val="24"/>
          <w:szCs w:val="24"/>
        </w:rPr>
      </w:pPr>
      <w:r w:rsidRPr="00EE4695">
        <w:rPr>
          <w:b/>
          <w:sz w:val="24"/>
          <w:szCs w:val="24"/>
        </w:rPr>
        <w:t>ВАЖНО</w:t>
      </w:r>
      <w:r w:rsidRPr="00EE4695">
        <w:rPr>
          <w:sz w:val="24"/>
          <w:szCs w:val="24"/>
        </w:rPr>
        <w:t>: Дейностите за осигуряване на бази данни и библиотеки са допустими само за периода на изпълнение на проекта.</w:t>
      </w:r>
    </w:p>
    <w:p w14:paraId="1E450C87" w14:textId="77777777" w:rsidR="00BA633A" w:rsidRPr="00EE4695" w:rsidRDefault="00BA633A" w:rsidP="00BA633A">
      <w:pPr>
        <w:spacing w:after="120"/>
        <w:jc w:val="both"/>
        <w:rPr>
          <w:sz w:val="24"/>
          <w:szCs w:val="24"/>
        </w:rPr>
      </w:pPr>
      <w:r w:rsidRPr="00EE4695">
        <w:rPr>
          <w:sz w:val="24"/>
          <w:szCs w:val="24"/>
        </w:rPr>
        <w:t xml:space="preserve">- </w:t>
      </w:r>
      <w:r w:rsidRPr="00EE4695">
        <w:rPr>
          <w:b/>
          <w:sz w:val="24"/>
          <w:szCs w:val="24"/>
        </w:rPr>
        <w:t>осигуряване на пазарни проучвания с цел разработване на по-ефективни продукти, процеси или услуги</w:t>
      </w:r>
      <w:r w:rsidRPr="00EE4695">
        <w:rPr>
          <w:sz w:val="24"/>
          <w:szCs w:val="24"/>
        </w:rPr>
        <w:t>, като например: услуги за провеждане на пазарни анализи и проучвания на пазара, които да допринесат за успешната пазарна реализация на внедряваната по проекта</w:t>
      </w:r>
      <w:r w:rsidRPr="00EE4695">
        <w:rPr>
          <w:spacing w:val="-2"/>
          <w:sz w:val="24"/>
          <w:szCs w:val="24"/>
        </w:rPr>
        <w:t xml:space="preserve"> </w:t>
      </w:r>
      <w:r w:rsidRPr="00EE4695">
        <w:rPr>
          <w:sz w:val="24"/>
          <w:szCs w:val="24"/>
        </w:rPr>
        <w:t>иновация;</w:t>
      </w:r>
    </w:p>
    <w:p w14:paraId="59FE58D4" w14:textId="77777777" w:rsidR="00BA633A" w:rsidRPr="00EE4695" w:rsidRDefault="00BA633A" w:rsidP="00BA633A">
      <w:pPr>
        <w:spacing w:after="120"/>
        <w:jc w:val="both"/>
        <w:rPr>
          <w:sz w:val="24"/>
          <w:szCs w:val="24"/>
        </w:rPr>
      </w:pPr>
      <w:r w:rsidRPr="00EE4695">
        <w:rPr>
          <w:sz w:val="24"/>
          <w:szCs w:val="24"/>
        </w:rPr>
        <w:t xml:space="preserve">- </w:t>
      </w:r>
      <w:r w:rsidRPr="00EE4695">
        <w:rPr>
          <w:b/>
          <w:sz w:val="24"/>
          <w:szCs w:val="24"/>
        </w:rPr>
        <w:t>осигуряване на лаборатории с цел разработване на по-ефективни продукти, процеси или услуги</w:t>
      </w:r>
      <w:r w:rsidRPr="00EE4695">
        <w:rPr>
          <w:sz w:val="24"/>
          <w:szCs w:val="24"/>
        </w:rPr>
        <w:t>, като например: услуги за провеждане на изследвания, измервания и</w:t>
      </w:r>
      <w:r w:rsidRPr="00EE4695">
        <w:rPr>
          <w:spacing w:val="-1"/>
          <w:sz w:val="24"/>
          <w:szCs w:val="24"/>
        </w:rPr>
        <w:t xml:space="preserve"> </w:t>
      </w:r>
      <w:r w:rsidRPr="00EE4695">
        <w:rPr>
          <w:sz w:val="24"/>
          <w:szCs w:val="24"/>
        </w:rPr>
        <w:t>изпитвания;</w:t>
      </w:r>
    </w:p>
    <w:p w14:paraId="0DA2A94A" w14:textId="77777777" w:rsidR="00BA633A" w:rsidRPr="00EE4695" w:rsidRDefault="00BA633A" w:rsidP="00BA633A">
      <w:pPr>
        <w:spacing w:after="120"/>
        <w:jc w:val="both"/>
        <w:rPr>
          <w:sz w:val="24"/>
          <w:szCs w:val="24"/>
        </w:rPr>
      </w:pPr>
      <w:r w:rsidRPr="00EE4695">
        <w:rPr>
          <w:sz w:val="24"/>
          <w:szCs w:val="24"/>
        </w:rPr>
        <w:t xml:space="preserve">- </w:t>
      </w:r>
      <w:r w:rsidRPr="00EE4695">
        <w:rPr>
          <w:b/>
          <w:sz w:val="24"/>
          <w:szCs w:val="24"/>
        </w:rPr>
        <w:t xml:space="preserve">осигуряване на етикети за качество с цел разработване на по-ефективни продукти, процеси </w:t>
      </w:r>
      <w:r w:rsidRPr="00EE4695">
        <w:rPr>
          <w:b/>
          <w:sz w:val="24"/>
          <w:szCs w:val="24"/>
        </w:rPr>
        <w:lastRenderedPageBreak/>
        <w:t>или услуги</w:t>
      </w:r>
      <w:r w:rsidRPr="00EE4695">
        <w:rPr>
          <w:sz w:val="24"/>
          <w:szCs w:val="24"/>
        </w:rPr>
        <w:t>, като например: услуги за придобиване на етикети за качество за внедряваната по проекта</w:t>
      </w:r>
      <w:r w:rsidRPr="00EE4695">
        <w:rPr>
          <w:spacing w:val="-2"/>
          <w:sz w:val="24"/>
          <w:szCs w:val="24"/>
        </w:rPr>
        <w:t xml:space="preserve"> </w:t>
      </w:r>
      <w:r w:rsidRPr="00EE4695">
        <w:rPr>
          <w:sz w:val="24"/>
          <w:szCs w:val="24"/>
        </w:rPr>
        <w:t>иновация;</w:t>
      </w:r>
    </w:p>
    <w:p w14:paraId="3445416B" w14:textId="77777777" w:rsidR="00BA633A" w:rsidRPr="00EE4695" w:rsidRDefault="00BA633A" w:rsidP="00BA633A">
      <w:pPr>
        <w:spacing w:after="120"/>
        <w:jc w:val="both"/>
        <w:rPr>
          <w:sz w:val="24"/>
          <w:szCs w:val="24"/>
        </w:rPr>
      </w:pPr>
      <w:r w:rsidRPr="00EE4695">
        <w:rPr>
          <w:sz w:val="24"/>
          <w:szCs w:val="24"/>
        </w:rPr>
        <w:t xml:space="preserve">- </w:t>
      </w:r>
      <w:r w:rsidRPr="00EE4695">
        <w:rPr>
          <w:b/>
          <w:sz w:val="24"/>
          <w:szCs w:val="24"/>
        </w:rPr>
        <w:t>изпитване и сертифициране с цел разработване на по-ефективни продукти, процеси или услуги</w:t>
      </w:r>
      <w:r w:rsidRPr="00EE4695">
        <w:rPr>
          <w:sz w:val="24"/>
          <w:szCs w:val="24"/>
        </w:rPr>
        <w:t>, като например: изпитване и сертификация на иновативния продукт (стока или услуга) или процес, респективно получаване на продуктово съответствие за иновативния продукт, в съответствие с приложимите</w:t>
      </w:r>
      <w:r w:rsidRPr="00EE4695">
        <w:rPr>
          <w:spacing w:val="-17"/>
          <w:sz w:val="24"/>
          <w:szCs w:val="24"/>
        </w:rPr>
        <w:t xml:space="preserve"> </w:t>
      </w:r>
      <w:r w:rsidRPr="00EE4695">
        <w:rPr>
          <w:sz w:val="24"/>
          <w:szCs w:val="24"/>
        </w:rPr>
        <w:t>стандарти.</w:t>
      </w:r>
    </w:p>
    <w:p w14:paraId="5FEB6EED" w14:textId="77777777" w:rsidR="00BA633A" w:rsidRPr="00EE4695" w:rsidRDefault="00BA633A" w:rsidP="00BA633A">
      <w:pPr>
        <w:spacing w:after="120"/>
        <w:jc w:val="both"/>
        <w:rPr>
          <w:sz w:val="24"/>
          <w:szCs w:val="24"/>
        </w:rPr>
      </w:pPr>
      <w:r w:rsidRPr="00EE4695">
        <w:rPr>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660B57C2" w14:textId="77777777" w:rsidR="00BA633A" w:rsidRDefault="00BA633A" w:rsidP="00BA633A">
      <w:pPr>
        <w:spacing w:after="120"/>
        <w:jc w:val="both"/>
        <w:rPr>
          <w:sz w:val="24"/>
          <w:szCs w:val="24"/>
        </w:rPr>
      </w:pPr>
      <w:r w:rsidRPr="00EE4695">
        <w:rPr>
          <w:b/>
          <w:sz w:val="24"/>
          <w:szCs w:val="24"/>
        </w:rPr>
        <w:t>ВАЖНО</w:t>
      </w:r>
      <w:r w:rsidRPr="00EE4695">
        <w:rPr>
          <w:sz w:val="24"/>
          <w:szCs w:val="24"/>
        </w:rPr>
        <w:t xml:space="preserve">! Включването на дейности само за консултантски и помощни услуги в проектното предложение, подавано по настоящата процедура е НЕДОПУСТИМО. Кандидатите за безвъзмездна финансова помощ </w:t>
      </w:r>
      <w:r w:rsidRPr="00EE4695">
        <w:rPr>
          <w:b/>
          <w:sz w:val="24"/>
          <w:szCs w:val="24"/>
        </w:rPr>
        <w:t xml:space="preserve">могат да представят </w:t>
      </w:r>
      <w:r w:rsidRPr="00EE4695">
        <w:rPr>
          <w:sz w:val="24"/>
          <w:szCs w:val="24"/>
        </w:rPr>
        <w:t>проектни предложения по настоящата</w:t>
      </w:r>
      <w:r w:rsidRPr="00EE4695">
        <w:rPr>
          <w:spacing w:val="-11"/>
          <w:sz w:val="24"/>
          <w:szCs w:val="24"/>
        </w:rPr>
        <w:t xml:space="preserve"> </w:t>
      </w:r>
      <w:r w:rsidRPr="00EE4695">
        <w:rPr>
          <w:sz w:val="24"/>
          <w:szCs w:val="24"/>
        </w:rPr>
        <w:t>процедура,</w:t>
      </w:r>
      <w:r w:rsidRPr="00EE4695">
        <w:rPr>
          <w:spacing w:val="-10"/>
          <w:sz w:val="24"/>
          <w:szCs w:val="24"/>
        </w:rPr>
        <w:t xml:space="preserve"> </w:t>
      </w:r>
      <w:r w:rsidRPr="00EE4695">
        <w:rPr>
          <w:sz w:val="24"/>
          <w:szCs w:val="24"/>
        </w:rPr>
        <w:t>включващи</w:t>
      </w:r>
      <w:r w:rsidRPr="00EE4695">
        <w:rPr>
          <w:spacing w:val="-9"/>
          <w:sz w:val="24"/>
          <w:szCs w:val="24"/>
        </w:rPr>
        <w:t xml:space="preserve"> </w:t>
      </w:r>
      <w:r w:rsidRPr="00EE4695">
        <w:rPr>
          <w:b/>
          <w:sz w:val="24"/>
          <w:szCs w:val="24"/>
        </w:rPr>
        <w:t>комбинация</w:t>
      </w:r>
      <w:r w:rsidRPr="00EE4695">
        <w:rPr>
          <w:b/>
          <w:spacing w:val="-12"/>
          <w:sz w:val="24"/>
          <w:szCs w:val="24"/>
        </w:rPr>
        <w:t xml:space="preserve"> </w:t>
      </w:r>
      <w:r w:rsidRPr="00EE4695">
        <w:rPr>
          <w:b/>
          <w:sz w:val="24"/>
          <w:szCs w:val="24"/>
        </w:rPr>
        <w:t>от</w:t>
      </w:r>
      <w:r w:rsidRPr="00EE4695">
        <w:rPr>
          <w:b/>
          <w:spacing w:val="-10"/>
          <w:sz w:val="24"/>
          <w:szCs w:val="24"/>
        </w:rPr>
        <w:t xml:space="preserve"> </w:t>
      </w:r>
      <w:r w:rsidRPr="00EE4695">
        <w:rPr>
          <w:b/>
          <w:sz w:val="24"/>
          <w:szCs w:val="24"/>
        </w:rPr>
        <w:t>„Инвестиции” (дейности по т. 1-3 от т. I) и „Услуги” (дейности по т. 4 от т. I), като включването на „Инвестиции” (дейности по т. 1-3 от т. I) е ЗАДЪЛЖИТЕЛНО. Включването само на дейности „Услуги” (дейности по т. 4 от т. I) е НЕДОПУСТИМО</w:t>
      </w:r>
      <w:r w:rsidRPr="00EE4695">
        <w:rPr>
          <w:sz w:val="24"/>
          <w:szCs w:val="24"/>
        </w:rPr>
        <w:t>.</w:t>
      </w:r>
    </w:p>
    <w:p w14:paraId="5C328943" w14:textId="05EC8E7F" w:rsidR="00BA633A" w:rsidRDefault="00BA633A" w:rsidP="00206907">
      <w:pPr>
        <w:pStyle w:val="ListParagraph"/>
        <w:numPr>
          <w:ilvl w:val="0"/>
          <w:numId w:val="8"/>
        </w:numPr>
        <w:spacing w:after="120"/>
        <w:jc w:val="both"/>
        <w:rPr>
          <w:sz w:val="24"/>
          <w:szCs w:val="24"/>
        </w:rPr>
      </w:pPr>
      <w:r>
        <w:rPr>
          <w:sz w:val="24"/>
          <w:szCs w:val="24"/>
        </w:rPr>
        <w:t xml:space="preserve">Дейности за информиране и публичност. </w:t>
      </w:r>
    </w:p>
    <w:p w14:paraId="19C8BCBD" w14:textId="77777777" w:rsidR="00BA633A" w:rsidRPr="00FF085F" w:rsidRDefault="00BA633A" w:rsidP="00BA633A">
      <w:pPr>
        <w:contextualSpacing/>
        <w:jc w:val="both"/>
        <w:rPr>
          <w:rFonts w:eastAsia="Calibri"/>
          <w:sz w:val="24"/>
          <w:szCs w:val="24"/>
        </w:rPr>
      </w:pPr>
      <w:r w:rsidRPr="00FF085F">
        <w:rPr>
          <w:rFonts w:eastAsia="Calibri"/>
          <w:sz w:val="24"/>
          <w:szCs w:val="24"/>
        </w:rPr>
        <w:t xml:space="preserve">Пълният набор от мерки за информиране и публичност (визуализация),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 </w:t>
      </w:r>
    </w:p>
    <w:p w14:paraId="44FD59A1" w14:textId="77777777" w:rsidR="00BA633A" w:rsidRDefault="004312CB" w:rsidP="00BA633A">
      <w:pPr>
        <w:contextualSpacing/>
        <w:jc w:val="both"/>
        <w:rPr>
          <w:rStyle w:val="Hyperlink"/>
        </w:rPr>
      </w:pPr>
      <w:hyperlink r:id="rId11" w:history="1">
        <w:r w:rsidR="00BA633A" w:rsidRPr="00FF085F">
          <w:rPr>
            <w:rStyle w:val="Hyperlink"/>
          </w:rPr>
          <w:t>http://opic.bg/informatsiya-i-publichnost/grafichni-iziskvaniya</w:t>
        </w:r>
      </w:hyperlink>
    </w:p>
    <w:p w14:paraId="46644D74" w14:textId="77777777" w:rsidR="00BA633A" w:rsidRDefault="00BA633A" w:rsidP="00BA633A">
      <w:pPr>
        <w:contextualSpacing/>
        <w:jc w:val="both"/>
        <w:rPr>
          <w:rStyle w:val="Hyperlink"/>
        </w:rPr>
      </w:pPr>
    </w:p>
    <w:p w14:paraId="10FC3E6C" w14:textId="77777777" w:rsidR="00BA633A" w:rsidRDefault="00BA633A" w:rsidP="00BA633A">
      <w:pPr>
        <w:spacing w:after="120"/>
        <w:jc w:val="both"/>
        <w:rPr>
          <w:sz w:val="24"/>
          <w:szCs w:val="24"/>
        </w:rPr>
      </w:pPr>
      <w:r w:rsidRPr="00363825">
        <w:rPr>
          <w:rFonts w:eastAsia="Calibri"/>
          <w:b/>
          <w:sz w:val="24"/>
          <w:szCs w:val="24"/>
        </w:rPr>
        <w:t>ВАЖНО:</w:t>
      </w:r>
      <w:r w:rsidRPr="00363825">
        <w:rPr>
          <w:rFonts w:eastAsia="Calibri"/>
          <w:sz w:val="24"/>
          <w:szCs w:val="24"/>
        </w:rPr>
        <w:t xml:space="preserve"> </w:t>
      </w:r>
      <w:r w:rsidRPr="00363825">
        <w:rPr>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37F38290" w14:textId="77777777" w:rsidR="00BA633A" w:rsidRPr="00E206C4" w:rsidRDefault="00BA633A" w:rsidP="00BA633A">
      <w:pPr>
        <w:spacing w:after="120"/>
        <w:jc w:val="both"/>
        <w:rPr>
          <w:sz w:val="24"/>
          <w:szCs w:val="24"/>
        </w:rPr>
      </w:pPr>
      <w:r w:rsidRPr="00E206C4">
        <w:rPr>
          <w:sz w:val="24"/>
          <w:szCs w:val="24"/>
        </w:rPr>
        <w:t>Дейностите на настоящата процедура следва да се изпълняват при условията и спазване на праговете за помощ „</w:t>
      </w:r>
      <w:proofErr w:type="spellStart"/>
      <w:r w:rsidRPr="00E206C4">
        <w:rPr>
          <w:sz w:val="24"/>
          <w:szCs w:val="24"/>
        </w:rPr>
        <w:t>de</w:t>
      </w:r>
      <w:proofErr w:type="spellEnd"/>
      <w:r w:rsidRPr="00E206C4">
        <w:rPr>
          <w:sz w:val="24"/>
          <w:szCs w:val="24"/>
        </w:rPr>
        <w:t xml:space="preserve"> </w:t>
      </w:r>
      <w:proofErr w:type="spellStart"/>
      <w:r w:rsidRPr="00E206C4">
        <w:rPr>
          <w:sz w:val="24"/>
          <w:szCs w:val="24"/>
        </w:rPr>
        <w:t>minimis</w:t>
      </w:r>
      <w:proofErr w:type="spellEnd"/>
      <w:r w:rsidRPr="00E206C4">
        <w:rPr>
          <w:sz w:val="24"/>
          <w:szCs w:val="24"/>
        </w:rPr>
        <w:t>― съгласно Регламент (ЕС) № 1407/2013.</w:t>
      </w:r>
    </w:p>
    <w:p w14:paraId="13E4932D" w14:textId="77777777" w:rsidR="00BA633A" w:rsidRPr="00E206C4" w:rsidRDefault="00BA633A" w:rsidP="00BA633A">
      <w:pPr>
        <w:spacing w:after="120"/>
        <w:jc w:val="both"/>
        <w:rPr>
          <w:sz w:val="24"/>
          <w:szCs w:val="24"/>
        </w:rPr>
      </w:pPr>
      <w:r w:rsidRPr="00E206C4">
        <w:rPr>
          <w:b/>
          <w:sz w:val="24"/>
          <w:szCs w:val="24"/>
        </w:rPr>
        <w:t>ВАЖНО:</w:t>
      </w:r>
      <w:r w:rsidRPr="00E206C4">
        <w:rPr>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42EED60D" w14:textId="77777777" w:rsidR="00BA633A" w:rsidRPr="00E206C4" w:rsidRDefault="00BA633A" w:rsidP="00BA633A">
      <w:pPr>
        <w:spacing w:after="120"/>
        <w:jc w:val="both"/>
        <w:rPr>
          <w:sz w:val="24"/>
          <w:szCs w:val="24"/>
        </w:rPr>
      </w:pPr>
      <w:r w:rsidRPr="00E206C4">
        <w:rPr>
          <w:sz w:val="24"/>
          <w:szCs w:val="24"/>
        </w:rPr>
        <w:t>Кандидатите нямат право да подават проектни предложения по процедурата</w:t>
      </w:r>
      <w:r w:rsidRPr="00E206C4">
        <w:rPr>
          <w:spacing w:val="-11"/>
          <w:sz w:val="24"/>
          <w:szCs w:val="24"/>
        </w:rPr>
        <w:t xml:space="preserve"> </w:t>
      </w:r>
      <w:r w:rsidRPr="00E206C4">
        <w:rPr>
          <w:sz w:val="24"/>
          <w:szCs w:val="24"/>
        </w:rPr>
        <w:t>за</w:t>
      </w:r>
      <w:r w:rsidRPr="00E206C4">
        <w:rPr>
          <w:spacing w:val="-12"/>
          <w:sz w:val="24"/>
          <w:szCs w:val="24"/>
        </w:rPr>
        <w:t xml:space="preserve"> </w:t>
      </w:r>
      <w:r w:rsidRPr="00E206C4">
        <w:rPr>
          <w:sz w:val="24"/>
          <w:szCs w:val="24"/>
        </w:rPr>
        <w:t>вече реализирани</w:t>
      </w:r>
      <w:r w:rsidRPr="00E206C4">
        <w:rPr>
          <w:spacing w:val="13"/>
          <w:sz w:val="24"/>
          <w:szCs w:val="24"/>
        </w:rPr>
        <w:t xml:space="preserve"> </w:t>
      </w:r>
      <w:r w:rsidRPr="00E206C4">
        <w:rPr>
          <w:sz w:val="24"/>
          <w:szCs w:val="24"/>
        </w:rPr>
        <w:t>дейности</w:t>
      </w:r>
      <w:r w:rsidRPr="00E206C4">
        <w:rPr>
          <w:spacing w:val="14"/>
          <w:sz w:val="24"/>
          <w:szCs w:val="24"/>
        </w:rPr>
        <w:t xml:space="preserve"> </w:t>
      </w:r>
      <w:r w:rsidRPr="00E206C4">
        <w:rPr>
          <w:sz w:val="24"/>
          <w:szCs w:val="24"/>
        </w:rPr>
        <w:t>или</w:t>
      </w:r>
      <w:r w:rsidRPr="00E206C4">
        <w:rPr>
          <w:spacing w:val="13"/>
          <w:sz w:val="24"/>
          <w:szCs w:val="24"/>
        </w:rPr>
        <w:t xml:space="preserve"> </w:t>
      </w:r>
      <w:r w:rsidRPr="00E206C4">
        <w:rPr>
          <w:sz w:val="24"/>
          <w:szCs w:val="24"/>
        </w:rPr>
        <w:t>такива,</w:t>
      </w:r>
      <w:r w:rsidRPr="00E206C4">
        <w:rPr>
          <w:spacing w:val="15"/>
          <w:sz w:val="24"/>
          <w:szCs w:val="24"/>
        </w:rPr>
        <w:t xml:space="preserve"> </w:t>
      </w:r>
      <w:r w:rsidRPr="00E206C4">
        <w:rPr>
          <w:sz w:val="24"/>
          <w:szCs w:val="24"/>
        </w:rPr>
        <w:t>финансирани</w:t>
      </w:r>
      <w:r w:rsidRPr="00E206C4">
        <w:rPr>
          <w:spacing w:val="14"/>
          <w:sz w:val="24"/>
          <w:szCs w:val="24"/>
        </w:rPr>
        <w:t xml:space="preserve"> </w:t>
      </w:r>
      <w:r w:rsidRPr="00E206C4">
        <w:rPr>
          <w:sz w:val="24"/>
          <w:szCs w:val="24"/>
        </w:rPr>
        <w:t>по</w:t>
      </w:r>
      <w:r w:rsidRPr="00E206C4">
        <w:rPr>
          <w:spacing w:val="14"/>
          <w:sz w:val="24"/>
          <w:szCs w:val="24"/>
        </w:rPr>
        <w:t xml:space="preserve"> </w:t>
      </w:r>
      <w:r w:rsidRPr="00E206C4">
        <w:rPr>
          <w:sz w:val="24"/>
          <w:szCs w:val="24"/>
        </w:rPr>
        <w:t>друг</w:t>
      </w:r>
      <w:r w:rsidRPr="00E206C4">
        <w:rPr>
          <w:spacing w:val="15"/>
          <w:sz w:val="24"/>
          <w:szCs w:val="24"/>
        </w:rPr>
        <w:t xml:space="preserve"> </w:t>
      </w:r>
      <w:r w:rsidRPr="00E206C4">
        <w:rPr>
          <w:sz w:val="24"/>
          <w:szCs w:val="24"/>
        </w:rPr>
        <w:t>проект,</w:t>
      </w:r>
      <w:r w:rsidRPr="00E206C4">
        <w:rPr>
          <w:spacing w:val="15"/>
          <w:sz w:val="24"/>
          <w:szCs w:val="24"/>
        </w:rPr>
        <w:t xml:space="preserve"> </w:t>
      </w:r>
      <w:r w:rsidRPr="00E206C4">
        <w:rPr>
          <w:sz w:val="24"/>
          <w:szCs w:val="24"/>
        </w:rPr>
        <w:t>програма</w:t>
      </w:r>
      <w:r w:rsidRPr="00E206C4">
        <w:rPr>
          <w:spacing w:val="15"/>
          <w:sz w:val="24"/>
          <w:szCs w:val="24"/>
        </w:rPr>
        <w:t xml:space="preserve"> </w:t>
      </w:r>
      <w:r w:rsidRPr="00E206C4">
        <w:rPr>
          <w:sz w:val="24"/>
          <w:szCs w:val="24"/>
        </w:rPr>
        <w:t>или</w:t>
      </w:r>
      <w:r w:rsidRPr="00E206C4">
        <w:rPr>
          <w:spacing w:val="17"/>
          <w:sz w:val="24"/>
          <w:szCs w:val="24"/>
        </w:rPr>
        <w:t xml:space="preserve"> </w:t>
      </w:r>
      <w:r w:rsidRPr="00E206C4">
        <w:rPr>
          <w:sz w:val="24"/>
          <w:szCs w:val="24"/>
        </w:rPr>
        <w:t>каквато и да е друга финансова схема, произлизаща от националния бюджет, бюджета на Общността или друга донорска програма.</w:t>
      </w:r>
    </w:p>
    <w:p w14:paraId="5C7EF822" w14:textId="77777777" w:rsidR="00BA633A" w:rsidRDefault="00BA633A" w:rsidP="00BA633A">
      <w:pPr>
        <w:pStyle w:val="Heading3"/>
        <w:spacing w:before="5"/>
        <w:ind w:right="224" w:firstLine="720"/>
        <w:jc w:val="both"/>
      </w:pPr>
    </w:p>
    <w:p w14:paraId="707EA639" w14:textId="1F34A121" w:rsidR="00BA633A" w:rsidRPr="006A4DEF" w:rsidRDefault="00206907" w:rsidP="006A4DEF">
      <w:pPr>
        <w:pStyle w:val="Heading2"/>
        <w:numPr>
          <w:ilvl w:val="0"/>
          <w:numId w:val="12"/>
        </w:numPr>
        <w:rPr>
          <w:color w:val="548DD4" w:themeColor="text2" w:themeTint="99"/>
        </w:rPr>
      </w:pPr>
      <w:r w:rsidRPr="006A4DEF">
        <w:rPr>
          <w:color w:val="548DD4" w:themeColor="text2" w:themeTint="99"/>
        </w:rPr>
        <w:t xml:space="preserve">Допустими проекти </w:t>
      </w:r>
    </w:p>
    <w:p w14:paraId="48AFE567" w14:textId="77777777" w:rsidR="00BA633A" w:rsidRPr="00BA633A" w:rsidRDefault="00BA633A" w:rsidP="00BA633A">
      <w:pPr>
        <w:pStyle w:val="Heading3"/>
        <w:spacing w:before="5"/>
        <w:ind w:right="224" w:firstLine="720"/>
        <w:jc w:val="both"/>
      </w:pPr>
    </w:p>
    <w:p w14:paraId="47E21C68" w14:textId="77777777" w:rsidR="00206907" w:rsidRDefault="00206907" w:rsidP="006A4DEF">
      <w:pPr>
        <w:ind w:firstLine="720"/>
        <w:contextualSpacing/>
        <w:jc w:val="both"/>
        <w:rPr>
          <w:rFonts w:eastAsia="Calibri"/>
          <w:i/>
          <w:sz w:val="24"/>
          <w:szCs w:val="24"/>
        </w:rPr>
      </w:pPr>
      <w:r w:rsidRPr="00FF085F">
        <w:rPr>
          <w:rFonts w:eastAsia="Calibri"/>
          <w:b/>
          <w:sz w:val="24"/>
          <w:szCs w:val="24"/>
        </w:rPr>
        <w:t>Допустими проекти по</w:t>
      </w:r>
      <w:r>
        <w:rPr>
          <w:rFonts w:eastAsia="Calibri"/>
          <w:b/>
          <w:sz w:val="24"/>
          <w:szCs w:val="24"/>
        </w:rPr>
        <w:t xml:space="preserve"> настоящата процедура са: </w:t>
      </w:r>
    </w:p>
    <w:p w14:paraId="4868ADD4" w14:textId="77777777" w:rsidR="00206907" w:rsidRDefault="00206907" w:rsidP="00206907">
      <w:pPr>
        <w:contextualSpacing/>
        <w:jc w:val="both"/>
        <w:rPr>
          <w:rFonts w:eastAsia="Calibri"/>
          <w:i/>
          <w:sz w:val="24"/>
          <w:szCs w:val="24"/>
        </w:rPr>
      </w:pPr>
    </w:p>
    <w:p w14:paraId="72E17501" w14:textId="77777777" w:rsidR="00206907" w:rsidRPr="008C7B78" w:rsidRDefault="00206907" w:rsidP="00206907">
      <w:pPr>
        <w:spacing w:after="120"/>
        <w:jc w:val="both"/>
        <w:rPr>
          <w:rFonts w:eastAsia="Calibri"/>
          <w:b/>
          <w:i/>
          <w:sz w:val="24"/>
          <w:szCs w:val="24"/>
        </w:rPr>
      </w:pPr>
      <w:r w:rsidRPr="00FF085F">
        <w:rPr>
          <w:rFonts w:eastAsia="Calibri"/>
          <w:b/>
          <w:i/>
          <w:sz w:val="24"/>
          <w:szCs w:val="24"/>
        </w:rPr>
        <w:t>1. Изпълнението на проектите следва да води до внедряване на продуктова и/или производствена иновация, попадаща  в обхвата на изброените по-долу приоритетни направления на тематичните области на  Иновационната стратегия за инт</w:t>
      </w:r>
      <w:r>
        <w:rPr>
          <w:rFonts w:eastAsia="Calibri"/>
          <w:b/>
          <w:i/>
          <w:sz w:val="24"/>
          <w:szCs w:val="24"/>
        </w:rPr>
        <w:t xml:space="preserve">елигента специализация (ИСИС): </w:t>
      </w:r>
      <w:r w:rsidRPr="00FF085F">
        <w:rPr>
          <w:rFonts w:eastAsia="Calibri"/>
          <w:sz w:val="24"/>
          <w:szCs w:val="24"/>
        </w:rPr>
        <w:tab/>
      </w:r>
    </w:p>
    <w:p w14:paraId="4E52A325" w14:textId="28278645" w:rsidR="00206907" w:rsidRPr="00947F3C" w:rsidRDefault="00206907" w:rsidP="00947F3C">
      <w:pPr>
        <w:pStyle w:val="ListParagraph"/>
        <w:numPr>
          <w:ilvl w:val="0"/>
          <w:numId w:val="15"/>
        </w:numPr>
        <w:spacing w:after="120"/>
        <w:jc w:val="both"/>
        <w:rPr>
          <w:rFonts w:eastAsia="Calibri"/>
          <w:b/>
          <w:sz w:val="24"/>
          <w:szCs w:val="24"/>
        </w:rPr>
      </w:pPr>
      <w:r w:rsidRPr="00947F3C">
        <w:rPr>
          <w:rFonts w:eastAsia="Calibri"/>
          <w:b/>
          <w:sz w:val="24"/>
          <w:szCs w:val="24"/>
        </w:rPr>
        <w:t xml:space="preserve">ИКТ и информатика: </w:t>
      </w:r>
    </w:p>
    <w:p w14:paraId="53499EFA" w14:textId="35690F02"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 xml:space="preserve">производства, включително </w:t>
      </w:r>
      <w:proofErr w:type="spellStart"/>
      <w:r w:rsidRPr="00947F3C">
        <w:rPr>
          <w:rFonts w:eastAsia="Calibri"/>
          <w:sz w:val="24"/>
          <w:szCs w:val="24"/>
        </w:rPr>
        <w:t>Fabless</w:t>
      </w:r>
      <w:proofErr w:type="spellEnd"/>
      <w:r w:rsidRPr="00947F3C">
        <w:rPr>
          <w:rFonts w:eastAsia="Calibri"/>
          <w:sz w:val="24"/>
          <w:szCs w:val="24"/>
        </w:rPr>
        <w:t xml:space="preserve">, особено на създадени в България продукти, устройства и системи; </w:t>
      </w:r>
    </w:p>
    <w:p w14:paraId="4A64C32C" w14:textId="2578593D"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 xml:space="preserve">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w:t>
      </w:r>
      <w:r w:rsidRPr="00947F3C">
        <w:rPr>
          <w:rFonts w:eastAsia="Calibri"/>
          <w:sz w:val="24"/>
          <w:szCs w:val="24"/>
        </w:rPr>
        <w:lastRenderedPageBreak/>
        <w:t>развлекателни и образователни игри, теле-медицина и теле-грижа и „</w:t>
      </w:r>
      <w:proofErr w:type="spellStart"/>
      <w:r w:rsidRPr="00947F3C">
        <w:rPr>
          <w:rFonts w:eastAsia="Calibri"/>
          <w:sz w:val="24"/>
          <w:szCs w:val="24"/>
        </w:rPr>
        <w:t>имбедид</w:t>
      </w:r>
      <w:proofErr w:type="spellEnd"/>
      <w:r w:rsidRPr="00947F3C">
        <w:rPr>
          <w:rFonts w:eastAsia="Calibri"/>
          <w:sz w:val="24"/>
          <w:szCs w:val="24"/>
        </w:rPr>
        <w:t>” софтуер;</w:t>
      </w:r>
    </w:p>
    <w:p w14:paraId="16A04D79" w14:textId="71857B8E"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 xml:space="preserve">3D дигитализация, визуализация и </w:t>
      </w:r>
      <w:proofErr w:type="spellStart"/>
      <w:r w:rsidRPr="00947F3C">
        <w:rPr>
          <w:rFonts w:eastAsia="Calibri"/>
          <w:sz w:val="24"/>
          <w:szCs w:val="24"/>
        </w:rPr>
        <w:t>прототипиране</w:t>
      </w:r>
      <w:proofErr w:type="spellEnd"/>
      <w:r w:rsidRPr="00947F3C">
        <w:rPr>
          <w:rFonts w:eastAsia="Calibri"/>
          <w:sz w:val="24"/>
          <w:szCs w:val="24"/>
        </w:rPr>
        <w:t>;</w:t>
      </w:r>
    </w:p>
    <w:p w14:paraId="1EC8D04F" w14:textId="79D3D506"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 xml:space="preserve">Big Data, </w:t>
      </w:r>
      <w:proofErr w:type="spellStart"/>
      <w:r w:rsidRPr="00947F3C">
        <w:rPr>
          <w:rFonts w:eastAsia="Calibri"/>
          <w:sz w:val="24"/>
          <w:szCs w:val="24"/>
        </w:rPr>
        <w:t>Grid</w:t>
      </w:r>
      <w:proofErr w:type="spellEnd"/>
      <w:r w:rsidRPr="00947F3C">
        <w:rPr>
          <w:rFonts w:eastAsia="Calibri"/>
          <w:sz w:val="24"/>
          <w:szCs w:val="24"/>
        </w:rPr>
        <w:t xml:space="preserve"> </w:t>
      </w:r>
      <w:proofErr w:type="spellStart"/>
      <w:r w:rsidRPr="00947F3C">
        <w:rPr>
          <w:rFonts w:eastAsia="Calibri"/>
          <w:sz w:val="24"/>
          <w:szCs w:val="24"/>
        </w:rPr>
        <w:t>and</w:t>
      </w:r>
      <w:proofErr w:type="spellEnd"/>
      <w:r w:rsidRPr="00947F3C">
        <w:rPr>
          <w:rFonts w:eastAsia="Calibri"/>
          <w:sz w:val="24"/>
          <w:szCs w:val="24"/>
        </w:rPr>
        <w:t xml:space="preserve"> </w:t>
      </w:r>
      <w:proofErr w:type="spellStart"/>
      <w:r w:rsidRPr="00947F3C">
        <w:rPr>
          <w:rFonts w:eastAsia="Calibri"/>
          <w:sz w:val="24"/>
          <w:szCs w:val="24"/>
        </w:rPr>
        <w:t>Cloud</w:t>
      </w:r>
      <w:proofErr w:type="spellEnd"/>
      <w:r w:rsidRPr="00947F3C">
        <w:rPr>
          <w:rFonts w:eastAsia="Calibri"/>
          <w:sz w:val="24"/>
          <w:szCs w:val="24"/>
        </w:rPr>
        <w:t xml:space="preserve"> Technologies;</w:t>
      </w:r>
    </w:p>
    <w:p w14:paraId="18EC26C4" w14:textId="2EEDDF91"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безжични сензорни мрежи и безжична комуникация/управление;</w:t>
      </w:r>
    </w:p>
    <w:p w14:paraId="3697EC4B" w14:textId="205F6E21"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езикови технологии;</w:t>
      </w:r>
    </w:p>
    <w:p w14:paraId="7D50D0D5" w14:textId="3C276509"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уеб, хибридни и „</w:t>
      </w:r>
      <w:proofErr w:type="spellStart"/>
      <w:r w:rsidRPr="00947F3C">
        <w:rPr>
          <w:rFonts w:eastAsia="Calibri"/>
          <w:sz w:val="24"/>
          <w:szCs w:val="24"/>
        </w:rPr>
        <w:t>native</w:t>
      </w:r>
      <w:proofErr w:type="spellEnd"/>
      <w:r w:rsidRPr="00947F3C">
        <w:rPr>
          <w:rFonts w:eastAsia="Calibri"/>
          <w:sz w:val="24"/>
          <w:szCs w:val="24"/>
        </w:rPr>
        <w:t>“ приложения, уеб базирани приложения за създаване и експлоатиране на нови услуги и продукти;</w:t>
      </w:r>
    </w:p>
    <w:p w14:paraId="2068888C" w14:textId="7DBE35A8" w:rsidR="00206907" w:rsidRPr="00947F3C" w:rsidRDefault="00206907" w:rsidP="00947F3C">
      <w:pPr>
        <w:pStyle w:val="ListParagraph"/>
        <w:numPr>
          <w:ilvl w:val="0"/>
          <w:numId w:val="21"/>
        </w:numPr>
        <w:tabs>
          <w:tab w:val="left" w:pos="284"/>
        </w:tabs>
        <w:spacing w:after="120"/>
        <w:jc w:val="both"/>
        <w:rPr>
          <w:rFonts w:eastAsia="Calibri"/>
          <w:sz w:val="24"/>
          <w:szCs w:val="24"/>
        </w:rPr>
      </w:pPr>
      <w:r w:rsidRPr="00947F3C">
        <w:rPr>
          <w:rFonts w:eastAsia="Calibri"/>
          <w:sz w:val="24"/>
          <w:szCs w:val="24"/>
        </w:rPr>
        <w:t xml:space="preserve">използване на нови възможности във връзка с </w:t>
      </w:r>
      <w:proofErr w:type="spellStart"/>
      <w:r w:rsidRPr="00947F3C">
        <w:rPr>
          <w:rFonts w:eastAsia="Calibri"/>
          <w:sz w:val="24"/>
          <w:szCs w:val="24"/>
        </w:rPr>
        <w:t>аутсорсинг</w:t>
      </w:r>
      <w:proofErr w:type="spellEnd"/>
      <w:r w:rsidRPr="00947F3C">
        <w:rPr>
          <w:rFonts w:eastAsia="Calibri"/>
          <w:sz w:val="24"/>
          <w:szCs w:val="24"/>
        </w:rPr>
        <w:t xml:space="preserve"> и ИКТ-базирани услуги и системи.</w:t>
      </w:r>
    </w:p>
    <w:p w14:paraId="654B1E6D" w14:textId="2EC87CAF" w:rsidR="00206907" w:rsidRPr="00947F3C" w:rsidRDefault="00206907" w:rsidP="00947F3C">
      <w:pPr>
        <w:pStyle w:val="ListParagraph"/>
        <w:numPr>
          <w:ilvl w:val="0"/>
          <w:numId w:val="23"/>
        </w:numPr>
        <w:spacing w:after="120"/>
        <w:jc w:val="both"/>
        <w:rPr>
          <w:rFonts w:eastAsia="Calibri"/>
          <w:sz w:val="24"/>
          <w:szCs w:val="24"/>
        </w:rPr>
      </w:pPr>
      <w:proofErr w:type="spellStart"/>
      <w:r w:rsidRPr="00947F3C">
        <w:rPr>
          <w:rFonts w:eastAsia="Calibri"/>
          <w:b/>
          <w:sz w:val="24"/>
          <w:szCs w:val="24"/>
        </w:rPr>
        <w:t>Мехатроника</w:t>
      </w:r>
      <w:proofErr w:type="spellEnd"/>
      <w:r w:rsidRPr="00947F3C">
        <w:rPr>
          <w:rFonts w:eastAsia="Calibri"/>
          <w:b/>
          <w:sz w:val="24"/>
          <w:szCs w:val="24"/>
        </w:rPr>
        <w:t xml:space="preserve"> и чисти технологии:</w:t>
      </w:r>
      <w:r w:rsidRPr="00947F3C">
        <w:rPr>
          <w:rFonts w:eastAsia="Calibri"/>
          <w:sz w:val="24"/>
          <w:szCs w:val="24"/>
        </w:rPr>
        <w:t xml:space="preserve"> </w:t>
      </w:r>
    </w:p>
    <w:p w14:paraId="0DDB24F3" w14:textId="7B83FA6F"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 xml:space="preserve">производство на базови елементи, детайли, възли и оборудване, вграждани като част от </w:t>
      </w:r>
      <w:proofErr w:type="spellStart"/>
      <w:r w:rsidRPr="00947F3C">
        <w:rPr>
          <w:rFonts w:eastAsia="Calibri"/>
          <w:sz w:val="24"/>
          <w:szCs w:val="24"/>
        </w:rPr>
        <w:t>мехатронен</w:t>
      </w:r>
      <w:proofErr w:type="spellEnd"/>
      <w:r w:rsidRPr="00947F3C">
        <w:rPr>
          <w:rFonts w:eastAsia="Calibri"/>
          <w:sz w:val="24"/>
          <w:szCs w:val="24"/>
        </w:rPr>
        <w:t xml:space="preserve"> агрегат или самостоятелно съставляващи такъв агрегат;</w:t>
      </w:r>
    </w:p>
    <w:p w14:paraId="2B254097" w14:textId="34045984"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 xml:space="preserve">машиностроене и </w:t>
      </w:r>
      <w:proofErr w:type="spellStart"/>
      <w:r w:rsidRPr="00947F3C">
        <w:rPr>
          <w:rFonts w:eastAsia="Calibri"/>
          <w:sz w:val="24"/>
          <w:szCs w:val="24"/>
        </w:rPr>
        <w:t>уредостроене</w:t>
      </w:r>
      <w:proofErr w:type="spellEnd"/>
      <w:r w:rsidRPr="00947F3C">
        <w:rPr>
          <w:rFonts w:eastAsia="Calibri"/>
          <w:sz w:val="24"/>
          <w:szCs w:val="24"/>
        </w:rPr>
        <w:t>, вкл. части, компоненти и системи, с акцент върху транспорта и енергетиката;</w:t>
      </w:r>
    </w:p>
    <w:p w14:paraId="4F2BB12E" w14:textId="0CFFAF10"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 xml:space="preserve">инженеринг, </w:t>
      </w:r>
      <w:proofErr w:type="spellStart"/>
      <w:r w:rsidRPr="00947F3C">
        <w:rPr>
          <w:rFonts w:eastAsia="Calibri"/>
          <w:sz w:val="24"/>
          <w:szCs w:val="24"/>
        </w:rPr>
        <w:t>реинженеринг</w:t>
      </w:r>
      <w:proofErr w:type="spellEnd"/>
      <w:r w:rsidRPr="00947F3C">
        <w:rPr>
          <w:rFonts w:eastAsia="Calibri"/>
          <w:sz w:val="24"/>
          <w:szCs w:val="24"/>
        </w:rPr>
        <w:t xml:space="preserve"> и продължаване на жизнения цикъл на индустриални машини, уреди и системи;</w:t>
      </w:r>
    </w:p>
    <w:p w14:paraId="5A3900C2" w14:textId="541ADE93"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системи за автоматизирано и софтуерно подпомагано управление с приложение в производството;</w:t>
      </w:r>
    </w:p>
    <w:p w14:paraId="57DF0484" w14:textId="4715FC5D"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вграждане на ВЕИ в роботизирани системи с изкуствен интелект;</w:t>
      </w:r>
    </w:p>
    <w:p w14:paraId="21BD2754" w14:textId="7DD298BE"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създаване на съвременни информационни комплекси за автономни енергийни системи;</w:t>
      </w:r>
    </w:p>
    <w:p w14:paraId="709A8027" w14:textId="3E0F54BC"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роботика и автоматизация на процеси, в т.ч. 3-D моделиране на роботизирани автоматизирани системи;</w:t>
      </w:r>
    </w:p>
    <w:p w14:paraId="723352AC" w14:textId="5B3A2ECE"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 xml:space="preserve">проектиране и производство на високо-технологични продукти и/или участие в над-национална производствена верига, вкл. в </w:t>
      </w:r>
      <w:proofErr w:type="spellStart"/>
      <w:r w:rsidRPr="00947F3C">
        <w:rPr>
          <w:rFonts w:eastAsia="Calibri"/>
          <w:sz w:val="24"/>
          <w:szCs w:val="24"/>
        </w:rPr>
        <w:t>аеро</w:t>
      </w:r>
      <w:proofErr w:type="spellEnd"/>
      <w:r w:rsidRPr="00947F3C">
        <w:rPr>
          <w:rFonts w:eastAsia="Calibri"/>
          <w:sz w:val="24"/>
          <w:szCs w:val="24"/>
        </w:rPr>
        <w:t>-космическата индустрия;</w:t>
      </w:r>
    </w:p>
    <w:p w14:paraId="35F79017" w14:textId="1564B0D5"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био-</w:t>
      </w:r>
      <w:proofErr w:type="spellStart"/>
      <w:r w:rsidRPr="00947F3C">
        <w:rPr>
          <w:rFonts w:eastAsia="Calibri"/>
          <w:sz w:val="24"/>
          <w:szCs w:val="24"/>
        </w:rPr>
        <w:t>мехатроника</w:t>
      </w:r>
      <w:proofErr w:type="spellEnd"/>
      <w:r w:rsidRPr="00947F3C">
        <w:rPr>
          <w:rFonts w:eastAsia="Calibri"/>
          <w:sz w:val="24"/>
          <w:szCs w:val="24"/>
        </w:rPr>
        <w:t>;</w:t>
      </w:r>
    </w:p>
    <w:p w14:paraId="755F82B7" w14:textId="645057D1"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интелигентни системи и уреди, „интелигентни домове“ – „интелигентни градове“;</w:t>
      </w:r>
    </w:p>
    <w:p w14:paraId="6C26A7CE" w14:textId="5DD618A1" w:rsidR="00206907" w:rsidRPr="00947F3C" w:rsidRDefault="00206907" w:rsidP="00947F3C">
      <w:pPr>
        <w:pStyle w:val="ListParagraph"/>
        <w:numPr>
          <w:ilvl w:val="0"/>
          <w:numId w:val="25"/>
        </w:numPr>
        <w:tabs>
          <w:tab w:val="left" w:pos="284"/>
        </w:tabs>
        <w:spacing w:after="120"/>
        <w:jc w:val="both"/>
        <w:rPr>
          <w:rFonts w:eastAsia="Calibri"/>
          <w:sz w:val="24"/>
          <w:szCs w:val="24"/>
        </w:rPr>
      </w:pPr>
      <w:r w:rsidRPr="00947F3C">
        <w:rPr>
          <w:rFonts w:eastAsia="Calibri"/>
          <w:sz w:val="24"/>
          <w:szCs w:val="24"/>
        </w:rPr>
        <w:t>чисти технологии с акцент върху транспорта и енергетиката (съхранение, спестяване и ефективно разпределение на енергия, електрически превозни средства и еко-мобилност, водород-базирани модели и технологии, безотпадни технологии, технологии и методи за включване на отпадъчни продукти и материали от производства в други производства).</w:t>
      </w:r>
    </w:p>
    <w:p w14:paraId="22007775" w14:textId="3D1E499A" w:rsidR="00206907" w:rsidRPr="00947F3C" w:rsidRDefault="00206907" w:rsidP="00947F3C">
      <w:pPr>
        <w:pStyle w:val="ListParagraph"/>
        <w:numPr>
          <w:ilvl w:val="0"/>
          <w:numId w:val="15"/>
        </w:numPr>
        <w:spacing w:after="120"/>
        <w:jc w:val="both"/>
        <w:rPr>
          <w:rFonts w:eastAsia="Calibri"/>
          <w:b/>
          <w:sz w:val="24"/>
          <w:szCs w:val="24"/>
        </w:rPr>
      </w:pPr>
      <w:r w:rsidRPr="00947F3C">
        <w:rPr>
          <w:rFonts w:eastAsia="Calibri"/>
          <w:b/>
          <w:sz w:val="24"/>
          <w:szCs w:val="24"/>
        </w:rPr>
        <w:t>Индустрия за здравословен живот и биотехнологии</w:t>
      </w:r>
      <w:r w:rsidRPr="00FF085F">
        <w:rPr>
          <w:rFonts w:eastAsia="Calibri"/>
          <w:vertAlign w:val="superscript"/>
        </w:rPr>
        <w:footnoteReference w:id="5"/>
      </w:r>
      <w:r w:rsidRPr="00947F3C">
        <w:rPr>
          <w:rFonts w:eastAsia="Calibri"/>
          <w:b/>
          <w:sz w:val="24"/>
          <w:szCs w:val="24"/>
        </w:rPr>
        <w:t>:</w:t>
      </w:r>
    </w:p>
    <w:p w14:paraId="06F39375" w14:textId="1D1A9E79"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w:t>
      </w:r>
    </w:p>
    <w:p w14:paraId="496C9BB6" w14:textId="4E1E1BCC"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производство на специализирани храни и напитки (бебешки и детски, „космически“ храни);</w:t>
      </w:r>
    </w:p>
    <w:p w14:paraId="669E7566" w14:textId="221BF558"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производство на инструменти, оборудване, консумативи за медицинска и дентална диагностика и терапия и/или участие в над-национална производствена верига;</w:t>
      </w:r>
    </w:p>
    <w:p w14:paraId="6CF47CBC" w14:textId="1E3EDEB4" w:rsid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lastRenderedPageBreak/>
        <w:t>персонална медицина, диагностика и индивидуална терапия, лечебни и лекарствени форми и средства;</w:t>
      </w:r>
    </w:p>
    <w:p w14:paraId="680AB38D" w14:textId="1C5488E6"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медицински и лечебен туризъм с акцент върху възможностите за персонализация (немасов, а персонален туризъм);</w:t>
      </w:r>
    </w:p>
    <w:p w14:paraId="7D971ED5" w14:textId="30DE09A0" w:rsidR="00206907" w:rsidRPr="00947F3C" w:rsidRDefault="00206907" w:rsidP="00947F3C">
      <w:pPr>
        <w:pStyle w:val="ListParagraph"/>
        <w:numPr>
          <w:ilvl w:val="0"/>
          <w:numId w:val="26"/>
        </w:numPr>
        <w:tabs>
          <w:tab w:val="left" w:pos="284"/>
        </w:tabs>
        <w:spacing w:after="120"/>
        <w:jc w:val="both"/>
        <w:rPr>
          <w:rFonts w:eastAsia="Calibri"/>
          <w:sz w:val="24"/>
          <w:szCs w:val="24"/>
        </w:rPr>
      </w:pPr>
      <w:proofErr w:type="spellStart"/>
      <w:r w:rsidRPr="00947F3C">
        <w:rPr>
          <w:rFonts w:eastAsia="Calibri"/>
          <w:sz w:val="24"/>
          <w:szCs w:val="24"/>
        </w:rPr>
        <w:t>нано</w:t>
      </w:r>
      <w:proofErr w:type="spellEnd"/>
      <w:r w:rsidRPr="00947F3C">
        <w:rPr>
          <w:rFonts w:eastAsia="Calibri"/>
          <w:sz w:val="24"/>
          <w:szCs w:val="24"/>
        </w:rPr>
        <w:t>-технологии в услуга на медицината;</w:t>
      </w:r>
    </w:p>
    <w:p w14:paraId="2986BFD3" w14:textId="6E879A0A"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био-технологии с пряко приложение за здравословен начин на живот;</w:t>
      </w:r>
    </w:p>
    <w:p w14:paraId="3179D19A" w14:textId="706A550D"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„сини“ технологии и приложение на нови методи и технологии в устойчивото ползване на речни и морски ресурси;</w:t>
      </w:r>
    </w:p>
    <w:p w14:paraId="296AD385" w14:textId="3F928BD5"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производство на инсталации за добиване на екологично чиста електроенергия и промишлена вода;</w:t>
      </w:r>
    </w:p>
    <w:p w14:paraId="02414F3D" w14:textId="5CBC182C" w:rsidR="00206907" w:rsidRPr="00947F3C" w:rsidRDefault="00206907" w:rsidP="00947F3C">
      <w:pPr>
        <w:pStyle w:val="ListParagraph"/>
        <w:numPr>
          <w:ilvl w:val="0"/>
          <w:numId w:val="26"/>
        </w:numPr>
        <w:tabs>
          <w:tab w:val="left" w:pos="284"/>
        </w:tabs>
        <w:spacing w:after="120"/>
        <w:jc w:val="both"/>
        <w:rPr>
          <w:rFonts w:eastAsia="Calibri"/>
          <w:sz w:val="24"/>
          <w:szCs w:val="24"/>
        </w:rPr>
      </w:pPr>
      <w:r w:rsidRPr="00947F3C">
        <w:rPr>
          <w:rFonts w:eastAsia="Calibri"/>
          <w:sz w:val="24"/>
          <w:szCs w:val="24"/>
        </w:rPr>
        <w:t xml:space="preserve">зелена икономика - </w:t>
      </w:r>
      <w:proofErr w:type="spellStart"/>
      <w:r w:rsidRPr="00947F3C">
        <w:rPr>
          <w:rFonts w:eastAsia="Calibri"/>
          <w:sz w:val="24"/>
          <w:szCs w:val="24"/>
        </w:rPr>
        <w:t>биобазирана</w:t>
      </w:r>
      <w:proofErr w:type="spellEnd"/>
      <w:r w:rsidRPr="00947F3C">
        <w:rPr>
          <w:rFonts w:eastAsia="Calibri"/>
          <w:sz w:val="24"/>
          <w:szCs w:val="24"/>
        </w:rPr>
        <w:t xml:space="preserve"> икономика (според обхвата на дефиницията за „Иновации за устойчив растеж: </w:t>
      </w:r>
      <w:proofErr w:type="spellStart"/>
      <w:r w:rsidRPr="00947F3C">
        <w:rPr>
          <w:rFonts w:eastAsia="Calibri"/>
          <w:sz w:val="24"/>
          <w:szCs w:val="24"/>
        </w:rPr>
        <w:t>Биоикономика</w:t>
      </w:r>
      <w:proofErr w:type="spellEnd"/>
      <w:r w:rsidRPr="00947F3C">
        <w:rPr>
          <w:rFonts w:eastAsia="Calibri"/>
          <w:sz w:val="24"/>
          <w:szCs w:val="24"/>
        </w:rPr>
        <w:t xml:space="preserve"> за Европа“). </w:t>
      </w:r>
      <w:proofErr w:type="spellStart"/>
      <w:r w:rsidRPr="00947F3C">
        <w:rPr>
          <w:rFonts w:eastAsia="Calibri"/>
          <w:sz w:val="24"/>
          <w:szCs w:val="24"/>
        </w:rPr>
        <w:t>Биобазирани</w:t>
      </w:r>
      <w:proofErr w:type="spellEnd"/>
      <w:r w:rsidRPr="00947F3C">
        <w:rPr>
          <w:rFonts w:eastAsia="Calibri"/>
          <w:sz w:val="24"/>
          <w:szCs w:val="24"/>
        </w:rPr>
        <w:t xml:space="preserve"> продукти са „продукти, които са изцяло или частично получени от материали от биологичен произход, с изключение на материали, вградени в геоложки формации и/или </w:t>
      </w:r>
      <w:proofErr w:type="spellStart"/>
      <w:r w:rsidRPr="00947F3C">
        <w:rPr>
          <w:rFonts w:eastAsia="Calibri"/>
          <w:sz w:val="24"/>
          <w:szCs w:val="24"/>
        </w:rPr>
        <w:t>фосилизирани</w:t>
      </w:r>
      <w:proofErr w:type="spellEnd"/>
      <w:r w:rsidRPr="00947F3C">
        <w:rPr>
          <w:rFonts w:eastAsia="Calibri"/>
          <w:sz w:val="24"/>
          <w:szCs w:val="24"/>
        </w:rPr>
        <w:t xml:space="preserve">. </w:t>
      </w:r>
    </w:p>
    <w:p w14:paraId="1E899A4C" w14:textId="19E97A24" w:rsidR="00206907" w:rsidRPr="00947F3C" w:rsidRDefault="00206907" w:rsidP="00947F3C">
      <w:pPr>
        <w:pStyle w:val="ListParagraph"/>
        <w:numPr>
          <w:ilvl w:val="0"/>
          <w:numId w:val="15"/>
        </w:numPr>
        <w:spacing w:after="120"/>
        <w:jc w:val="both"/>
        <w:rPr>
          <w:rFonts w:eastAsia="Calibri"/>
          <w:b/>
          <w:sz w:val="24"/>
          <w:szCs w:val="24"/>
        </w:rPr>
      </w:pPr>
      <w:r w:rsidRPr="00947F3C">
        <w:rPr>
          <w:rFonts w:eastAsia="Calibri"/>
          <w:b/>
          <w:sz w:val="24"/>
          <w:szCs w:val="24"/>
        </w:rPr>
        <w:t xml:space="preserve">Нови технологии в креативните и </w:t>
      </w:r>
      <w:proofErr w:type="spellStart"/>
      <w:r w:rsidRPr="00947F3C">
        <w:rPr>
          <w:rFonts w:eastAsia="Calibri"/>
          <w:b/>
          <w:sz w:val="24"/>
          <w:szCs w:val="24"/>
        </w:rPr>
        <w:t>рекреативните</w:t>
      </w:r>
      <w:proofErr w:type="spellEnd"/>
      <w:r w:rsidRPr="00947F3C">
        <w:rPr>
          <w:rFonts w:eastAsia="Calibri"/>
          <w:b/>
          <w:sz w:val="24"/>
          <w:szCs w:val="24"/>
        </w:rPr>
        <w:t xml:space="preserve"> индустрии:</w:t>
      </w:r>
    </w:p>
    <w:p w14:paraId="1FF125DD" w14:textId="57FA1BCE" w:rsidR="00206907" w:rsidRPr="00947F3C" w:rsidRDefault="00206907" w:rsidP="00947F3C">
      <w:pPr>
        <w:pStyle w:val="ListParagraph"/>
        <w:numPr>
          <w:ilvl w:val="0"/>
          <w:numId w:val="27"/>
        </w:numPr>
        <w:tabs>
          <w:tab w:val="left" w:pos="284"/>
        </w:tabs>
        <w:spacing w:after="120"/>
        <w:jc w:val="both"/>
        <w:rPr>
          <w:rFonts w:eastAsia="Calibri"/>
          <w:sz w:val="24"/>
          <w:szCs w:val="24"/>
        </w:rPr>
      </w:pPr>
      <w:r w:rsidRPr="00947F3C">
        <w:rPr>
          <w:rFonts w:eastAsia="Calibri"/>
          <w:sz w:val="24"/>
          <w:szCs w:val="24"/>
        </w:rPr>
        <w:t>културните и творческите индустрии (според дефиниция на ЕК: архитектура, архивно дело и библиотекарство, артистични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w:t>
      </w:r>
    </w:p>
    <w:p w14:paraId="01464803" w14:textId="59FEC0F5" w:rsidR="00206907" w:rsidRPr="00947F3C" w:rsidRDefault="00206907" w:rsidP="00947F3C">
      <w:pPr>
        <w:pStyle w:val="ListParagraph"/>
        <w:numPr>
          <w:ilvl w:val="0"/>
          <w:numId w:val="27"/>
        </w:numPr>
        <w:tabs>
          <w:tab w:val="left" w:pos="284"/>
        </w:tabs>
        <w:spacing w:after="120"/>
        <w:jc w:val="both"/>
        <w:rPr>
          <w:rFonts w:eastAsia="Calibri"/>
          <w:sz w:val="24"/>
          <w:szCs w:val="24"/>
        </w:rPr>
      </w:pPr>
      <w:r w:rsidRPr="00947F3C">
        <w:rPr>
          <w:rFonts w:eastAsia="Calibri"/>
          <w:sz w:val="24"/>
          <w:szCs w:val="24"/>
        </w:rPr>
        <w:t>компютърни и мобилни приложения и игри с образователен, маркетинг и/или развлекателен характер;</w:t>
      </w:r>
    </w:p>
    <w:p w14:paraId="00453B77" w14:textId="59AF2423" w:rsidR="00206907" w:rsidRPr="00947F3C" w:rsidRDefault="00206907" w:rsidP="00947F3C">
      <w:pPr>
        <w:pStyle w:val="ListParagraph"/>
        <w:numPr>
          <w:ilvl w:val="0"/>
          <w:numId w:val="27"/>
        </w:numPr>
        <w:tabs>
          <w:tab w:val="left" w:pos="284"/>
        </w:tabs>
        <w:spacing w:after="120"/>
        <w:jc w:val="both"/>
        <w:rPr>
          <w:rFonts w:eastAsia="Calibri"/>
          <w:sz w:val="24"/>
          <w:szCs w:val="24"/>
        </w:rPr>
      </w:pPr>
      <w:r w:rsidRPr="00947F3C">
        <w:rPr>
          <w:rFonts w:eastAsia="Calibri"/>
          <w:sz w:val="24"/>
          <w:szCs w:val="24"/>
        </w:rPr>
        <w:t xml:space="preserve">алтернативен (селски, еко-, културен и фестивален) и екстремен туризъм и спорт (за стимулиране на несезонен, немасов, а постоянен </w:t>
      </w:r>
      <w:proofErr w:type="spellStart"/>
      <w:r w:rsidRPr="00947F3C">
        <w:rPr>
          <w:rFonts w:eastAsia="Calibri"/>
          <w:sz w:val="24"/>
          <w:szCs w:val="24"/>
        </w:rPr>
        <w:t>нишов</w:t>
      </w:r>
      <w:proofErr w:type="spellEnd"/>
      <w:r w:rsidRPr="00947F3C">
        <w:rPr>
          <w:rFonts w:eastAsia="Calibri"/>
          <w:sz w:val="24"/>
          <w:szCs w:val="24"/>
        </w:rPr>
        <w:t xml:space="preserve"> туризъм);</w:t>
      </w:r>
    </w:p>
    <w:p w14:paraId="7B06E353" w14:textId="09D896DD" w:rsidR="00206907" w:rsidRPr="00947F3C" w:rsidRDefault="00206907" w:rsidP="00947F3C">
      <w:pPr>
        <w:pStyle w:val="ListParagraph"/>
        <w:numPr>
          <w:ilvl w:val="0"/>
          <w:numId w:val="27"/>
        </w:numPr>
        <w:tabs>
          <w:tab w:val="left" w:pos="284"/>
        </w:tabs>
        <w:spacing w:after="120"/>
        <w:jc w:val="both"/>
        <w:rPr>
          <w:rFonts w:eastAsia="Calibri"/>
          <w:sz w:val="24"/>
          <w:szCs w:val="24"/>
        </w:rPr>
      </w:pPr>
      <w:r w:rsidRPr="00947F3C">
        <w:rPr>
          <w:rFonts w:eastAsia="Calibri"/>
          <w:sz w:val="24"/>
          <w:szCs w:val="24"/>
        </w:rPr>
        <w:t xml:space="preserve">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w:t>
      </w:r>
      <w:proofErr w:type="spellStart"/>
      <w:r w:rsidRPr="00947F3C">
        <w:rPr>
          <w:rFonts w:eastAsia="Calibri"/>
          <w:sz w:val="24"/>
          <w:szCs w:val="24"/>
        </w:rPr>
        <w:t>възстановки</w:t>
      </w:r>
      <w:proofErr w:type="spellEnd"/>
      <w:r w:rsidRPr="00947F3C">
        <w:rPr>
          <w:rFonts w:eastAsia="Calibri"/>
          <w:sz w:val="24"/>
          <w:szCs w:val="24"/>
        </w:rPr>
        <w:t>, специализирана екипировка и оборудване, печатни издания).</w:t>
      </w:r>
    </w:p>
    <w:p w14:paraId="524BDB1A" w14:textId="77777777" w:rsidR="00206907" w:rsidRPr="00FF085F" w:rsidRDefault="00206907" w:rsidP="00206907">
      <w:pPr>
        <w:spacing w:after="120"/>
        <w:jc w:val="both"/>
        <w:rPr>
          <w:rFonts w:eastAsia="Calibri"/>
          <w:b/>
          <w:i/>
          <w:sz w:val="24"/>
          <w:szCs w:val="24"/>
        </w:rPr>
      </w:pPr>
      <w:r w:rsidRPr="00FF085F">
        <w:rPr>
          <w:rFonts w:eastAsia="Calibri"/>
          <w:b/>
          <w:i/>
          <w:sz w:val="24"/>
          <w:szCs w:val="24"/>
        </w:rPr>
        <w:t>2. Допустими за финансиране са проекти, които са насочени към внедряване (собствена разработка или на база права по интелектуална собственост, придобити от трети лица) на продуктова и/или производствена иновация.</w:t>
      </w:r>
    </w:p>
    <w:p w14:paraId="432150D5" w14:textId="77777777" w:rsidR="00206907" w:rsidRPr="00FF085F" w:rsidRDefault="00206907" w:rsidP="00206907">
      <w:pPr>
        <w:spacing w:after="120"/>
        <w:jc w:val="both"/>
        <w:rPr>
          <w:rFonts w:eastAsia="Calibri"/>
          <w:sz w:val="24"/>
          <w:szCs w:val="24"/>
        </w:rPr>
      </w:pPr>
      <w:r w:rsidRPr="00FF085F">
        <w:rPr>
          <w:rFonts w:eastAsia="Calibri"/>
          <w:sz w:val="24"/>
          <w:szCs w:val="24"/>
        </w:rPr>
        <w:t>Съгласно Наръчника от Осло (</w:t>
      </w:r>
      <w:proofErr w:type="spellStart"/>
      <w:r w:rsidRPr="00FF085F">
        <w:rPr>
          <w:rFonts w:eastAsia="Calibri"/>
          <w:sz w:val="24"/>
          <w:szCs w:val="24"/>
        </w:rPr>
        <w:t>Manuel</w:t>
      </w:r>
      <w:proofErr w:type="spellEnd"/>
      <w:r w:rsidRPr="00FF085F">
        <w:rPr>
          <w:rFonts w:eastAsia="Calibri"/>
          <w:sz w:val="24"/>
          <w:szCs w:val="24"/>
        </w:rPr>
        <w:t xml:space="preserve"> </w:t>
      </w:r>
      <w:proofErr w:type="spellStart"/>
      <w:r w:rsidRPr="00FF085F">
        <w:rPr>
          <w:rFonts w:eastAsia="Calibri"/>
          <w:sz w:val="24"/>
          <w:szCs w:val="24"/>
        </w:rPr>
        <w:t>d’Oslo</w:t>
      </w:r>
      <w:proofErr w:type="spellEnd"/>
      <w:r w:rsidRPr="00FF085F">
        <w:rPr>
          <w:rFonts w:eastAsia="Calibri"/>
          <w:sz w:val="24"/>
          <w:szCs w:val="24"/>
        </w:rPr>
        <w:t xml:space="preserve"> 3e </w:t>
      </w:r>
      <w:proofErr w:type="spellStart"/>
      <w:r w:rsidRPr="00FF085F">
        <w:rPr>
          <w:rFonts w:eastAsia="Calibri"/>
          <w:sz w:val="24"/>
          <w:szCs w:val="24"/>
        </w:rPr>
        <w:t>édition</w:t>
      </w:r>
      <w:proofErr w:type="spellEnd"/>
      <w:r w:rsidRPr="00FF085F">
        <w:rPr>
          <w:rFonts w:eastAsia="Calibri"/>
          <w:sz w:val="24"/>
          <w:szCs w:val="24"/>
        </w:rPr>
        <w:t xml:space="preserve"> © OECD/EUROPEAN COMMUNITIES 2005) иновация е въвеждане в употреба на някакъв нов или значително подобрен продукт (стока или услуга) или производствен процес, на нов метод за маркетинг или на нов организационен метод в търговската практика, организацията на работните места или външните връзки, които създават пазарни предимства и при това повишават конкурентоспособността  на фирмите.</w:t>
      </w:r>
    </w:p>
    <w:p w14:paraId="7026D3CB" w14:textId="77777777" w:rsidR="00206907" w:rsidRPr="00FF085F" w:rsidRDefault="00206907" w:rsidP="00206907">
      <w:pPr>
        <w:spacing w:after="120"/>
        <w:jc w:val="both"/>
        <w:rPr>
          <w:rFonts w:eastAsia="Calibri"/>
          <w:sz w:val="24"/>
          <w:szCs w:val="24"/>
        </w:rPr>
      </w:pPr>
      <w:r w:rsidRPr="00FF085F">
        <w:rPr>
          <w:rFonts w:eastAsia="Calibri"/>
          <w:b/>
          <w:sz w:val="24"/>
          <w:szCs w:val="24"/>
        </w:rPr>
        <w:t>Съгласно посочената дефиниция</w:t>
      </w:r>
      <w:r w:rsidRPr="00FF085F">
        <w:rPr>
          <w:rFonts w:eastAsia="Calibri"/>
          <w:sz w:val="24"/>
          <w:szCs w:val="24"/>
        </w:rPr>
        <w:t>:</w:t>
      </w:r>
    </w:p>
    <w:p w14:paraId="1C97F97A" w14:textId="130839B4" w:rsidR="00206907" w:rsidRPr="00947F3C" w:rsidRDefault="00206907" w:rsidP="00947F3C">
      <w:pPr>
        <w:pStyle w:val="ListParagraph"/>
        <w:numPr>
          <w:ilvl w:val="0"/>
          <w:numId w:val="28"/>
        </w:numPr>
        <w:spacing w:after="120"/>
        <w:jc w:val="both"/>
        <w:rPr>
          <w:rFonts w:eastAsia="Calibri"/>
          <w:sz w:val="24"/>
          <w:szCs w:val="24"/>
        </w:rPr>
      </w:pPr>
      <w:r w:rsidRPr="00947F3C">
        <w:rPr>
          <w:rFonts w:eastAsia="Calibri"/>
          <w:sz w:val="24"/>
          <w:szCs w:val="24"/>
        </w:rPr>
        <w:t>Продуктова (стока или услуга) иновация е внедряване на стока или услуга, която е нова или значително подобрена по отношение на нейните свойства или начини на използване. Това включва и значителните подобрения в техническите характеристики, компонентите и материалите, вграден софтуер, степента на удобството при ползване или в някакви други функционални характеристики;</w:t>
      </w:r>
    </w:p>
    <w:p w14:paraId="0D4A7200" w14:textId="1196C5CD" w:rsidR="00206907" w:rsidRPr="00947F3C" w:rsidRDefault="00206907" w:rsidP="00947F3C">
      <w:pPr>
        <w:pStyle w:val="ListParagraph"/>
        <w:numPr>
          <w:ilvl w:val="0"/>
          <w:numId w:val="28"/>
        </w:numPr>
        <w:spacing w:after="120"/>
        <w:jc w:val="both"/>
        <w:rPr>
          <w:rFonts w:eastAsia="Calibri"/>
          <w:sz w:val="24"/>
          <w:szCs w:val="24"/>
        </w:rPr>
      </w:pPr>
      <w:r w:rsidRPr="00947F3C">
        <w:rPr>
          <w:rFonts w:eastAsia="Calibri"/>
          <w:sz w:val="24"/>
          <w:szCs w:val="24"/>
        </w:rPr>
        <w:t>Производствена (процесна) иновация е внедряване на нов или значително подобрен начин на производство или доставка на продукта. Тук влизат значителни изменения в технологиите, производственото оборудване и/или софтуера.</w:t>
      </w:r>
    </w:p>
    <w:p w14:paraId="7C0411B5" w14:textId="77777777" w:rsidR="00206907" w:rsidRPr="00FF085F" w:rsidRDefault="00206907" w:rsidP="00206907">
      <w:pPr>
        <w:spacing w:after="120"/>
        <w:jc w:val="both"/>
        <w:rPr>
          <w:rFonts w:eastAsia="Calibri"/>
          <w:b/>
          <w:i/>
          <w:sz w:val="24"/>
          <w:szCs w:val="24"/>
        </w:rPr>
      </w:pPr>
      <w:r w:rsidRPr="00FF085F">
        <w:rPr>
          <w:rFonts w:eastAsia="Calibri"/>
          <w:b/>
          <w:i/>
          <w:sz w:val="24"/>
          <w:szCs w:val="24"/>
        </w:rPr>
        <w:t xml:space="preserve">3. Проектите са в съответствие с хоризонталните политики съгласно чл. 7 и чл. 8 на </w:t>
      </w:r>
      <w:r w:rsidRPr="00FF085F">
        <w:rPr>
          <w:rFonts w:eastAsia="Calibri"/>
          <w:b/>
          <w:i/>
          <w:sz w:val="24"/>
          <w:szCs w:val="24"/>
        </w:rPr>
        <w:lastRenderedPageBreak/>
        <w:t>Регламент (ЕС) № 1303/2013 на Европейския парламент и на Съвета.</w:t>
      </w:r>
    </w:p>
    <w:p w14:paraId="4328574C" w14:textId="77777777" w:rsidR="00206907" w:rsidRPr="00FF085F" w:rsidRDefault="00206907" w:rsidP="00206907">
      <w:pPr>
        <w:spacing w:after="120"/>
        <w:jc w:val="both"/>
        <w:rPr>
          <w:rFonts w:eastAsia="Calibri"/>
          <w:b/>
          <w:i/>
          <w:sz w:val="24"/>
          <w:szCs w:val="24"/>
        </w:rPr>
      </w:pPr>
      <w:r w:rsidRPr="00FF085F">
        <w:rPr>
          <w:rFonts w:eastAsia="Calibri"/>
          <w:b/>
          <w:i/>
          <w:sz w:val="24"/>
          <w:szCs w:val="24"/>
          <w:lang w:val="ru-RU"/>
        </w:rPr>
        <w:t>4</w:t>
      </w:r>
      <w:r w:rsidRPr="00FF085F">
        <w:rPr>
          <w:rFonts w:eastAsia="Calibri"/>
          <w:b/>
          <w:i/>
          <w:sz w:val="24"/>
          <w:szCs w:val="24"/>
        </w:rPr>
        <w:t>. По процедурата няма да се приемат за иновации:</w:t>
      </w:r>
    </w:p>
    <w:p w14:paraId="7DA9D2E6" w14:textId="28DE4253" w:rsidR="00206907" w:rsidRPr="00947F3C" w:rsidRDefault="00206907" w:rsidP="00947F3C">
      <w:pPr>
        <w:pStyle w:val="ListParagraph"/>
        <w:numPr>
          <w:ilvl w:val="0"/>
          <w:numId w:val="29"/>
        </w:numPr>
        <w:spacing w:after="120"/>
        <w:jc w:val="both"/>
        <w:rPr>
          <w:rFonts w:eastAsia="Calibri"/>
          <w:sz w:val="24"/>
          <w:szCs w:val="24"/>
        </w:rPr>
      </w:pPr>
      <w:r w:rsidRPr="00947F3C">
        <w:rPr>
          <w:rFonts w:eastAsia="Calibri"/>
          <w:sz w:val="24"/>
          <w:szCs w:val="24"/>
        </w:rPr>
        <w:t>незначителни  изменения или подобрения;</w:t>
      </w:r>
    </w:p>
    <w:p w14:paraId="770CCF04" w14:textId="623A710E" w:rsidR="00206907" w:rsidRPr="00947F3C" w:rsidRDefault="00206907" w:rsidP="00947F3C">
      <w:pPr>
        <w:pStyle w:val="ListParagraph"/>
        <w:numPr>
          <w:ilvl w:val="0"/>
          <w:numId w:val="29"/>
        </w:numPr>
        <w:spacing w:after="120"/>
        <w:jc w:val="both"/>
        <w:rPr>
          <w:rFonts w:eastAsia="Calibri"/>
          <w:sz w:val="24"/>
          <w:szCs w:val="24"/>
        </w:rPr>
      </w:pPr>
      <w:r w:rsidRPr="00947F3C">
        <w:rPr>
          <w:rFonts w:eastAsia="Calibri"/>
          <w:sz w:val="24"/>
          <w:szCs w:val="24"/>
        </w:rPr>
        <w:t>рутинни  модернизации;</w:t>
      </w:r>
    </w:p>
    <w:p w14:paraId="416ECA42" w14:textId="4F3EC940" w:rsidR="00206907" w:rsidRPr="00947F3C" w:rsidRDefault="00206907" w:rsidP="00947F3C">
      <w:pPr>
        <w:pStyle w:val="ListParagraph"/>
        <w:numPr>
          <w:ilvl w:val="0"/>
          <w:numId w:val="29"/>
        </w:numPr>
        <w:spacing w:after="120"/>
        <w:jc w:val="both"/>
        <w:rPr>
          <w:rFonts w:eastAsia="Calibri"/>
          <w:sz w:val="24"/>
          <w:szCs w:val="24"/>
        </w:rPr>
      </w:pPr>
      <w:r w:rsidRPr="00947F3C">
        <w:rPr>
          <w:rFonts w:eastAsia="Calibri"/>
          <w:sz w:val="24"/>
          <w:szCs w:val="24"/>
        </w:rPr>
        <w:t>редовни  сезонни изменения в асортимента;</w:t>
      </w:r>
    </w:p>
    <w:p w14:paraId="52521EEA" w14:textId="131966AA" w:rsidR="00206907" w:rsidRPr="00947F3C" w:rsidRDefault="00206907" w:rsidP="00947F3C">
      <w:pPr>
        <w:pStyle w:val="ListParagraph"/>
        <w:numPr>
          <w:ilvl w:val="0"/>
          <w:numId w:val="29"/>
        </w:numPr>
        <w:spacing w:after="120"/>
        <w:jc w:val="both"/>
        <w:rPr>
          <w:rFonts w:eastAsia="Calibri"/>
          <w:sz w:val="24"/>
          <w:szCs w:val="24"/>
        </w:rPr>
      </w:pPr>
      <w:r w:rsidRPr="00947F3C">
        <w:rPr>
          <w:rFonts w:eastAsia="Calibri"/>
          <w:sz w:val="24"/>
          <w:szCs w:val="24"/>
        </w:rPr>
        <w:t>следствия  от приспособяване към изискванията  на отделния клиент, които не  водят до съществени отлики  от продукцията, произведена за  останалите клиенти;</w:t>
      </w:r>
    </w:p>
    <w:p w14:paraId="3378E827" w14:textId="352B7FCE" w:rsidR="00206907" w:rsidRPr="00947F3C" w:rsidRDefault="00206907" w:rsidP="00947F3C">
      <w:pPr>
        <w:pStyle w:val="ListParagraph"/>
        <w:numPr>
          <w:ilvl w:val="0"/>
          <w:numId w:val="29"/>
        </w:numPr>
        <w:spacing w:after="120"/>
        <w:jc w:val="both"/>
        <w:rPr>
          <w:rFonts w:eastAsia="Calibri"/>
          <w:sz w:val="24"/>
          <w:szCs w:val="24"/>
        </w:rPr>
      </w:pPr>
      <w:r w:rsidRPr="00947F3C">
        <w:rPr>
          <w:rFonts w:eastAsia="Calibri"/>
          <w:sz w:val="24"/>
          <w:szCs w:val="24"/>
        </w:rPr>
        <w:t>проста препродажба;</w:t>
      </w:r>
    </w:p>
    <w:p w14:paraId="406EDE49" w14:textId="7CE9A626" w:rsidR="00206907" w:rsidRPr="00947F3C" w:rsidRDefault="00206907" w:rsidP="00947F3C">
      <w:pPr>
        <w:pStyle w:val="ListParagraph"/>
        <w:numPr>
          <w:ilvl w:val="0"/>
          <w:numId w:val="29"/>
        </w:numPr>
        <w:spacing w:after="120"/>
        <w:jc w:val="both"/>
        <w:rPr>
          <w:rFonts w:eastAsia="Calibri"/>
          <w:sz w:val="24"/>
          <w:szCs w:val="24"/>
        </w:rPr>
      </w:pPr>
      <w:r w:rsidRPr="00947F3C">
        <w:rPr>
          <w:rFonts w:eastAsia="Calibri"/>
          <w:sz w:val="24"/>
          <w:szCs w:val="24"/>
        </w:rPr>
        <w:t>увеличаване на производствения капацитет или капацитета за предоставяне на услуги чрез добавяне на производствени или логистични системи, които са много сходни с вече използваните.</w:t>
      </w:r>
    </w:p>
    <w:p w14:paraId="0B4346E7" w14:textId="77777777" w:rsidR="00206907" w:rsidRPr="00FF085F" w:rsidRDefault="00206907" w:rsidP="00206907">
      <w:pPr>
        <w:spacing w:after="120"/>
        <w:jc w:val="both"/>
        <w:rPr>
          <w:rFonts w:eastAsia="Calibri"/>
          <w:sz w:val="24"/>
          <w:szCs w:val="24"/>
        </w:rPr>
      </w:pPr>
      <w:r w:rsidRPr="00FF085F">
        <w:rPr>
          <w:rFonts w:eastAsia="Calibri"/>
          <w:b/>
          <w:sz w:val="24"/>
          <w:szCs w:val="24"/>
        </w:rPr>
        <w:t>ВАЖНО:</w:t>
      </w:r>
      <w:r w:rsidRPr="00FF085F">
        <w:rPr>
          <w:rFonts w:eastAsia="Calibri"/>
          <w:sz w:val="24"/>
          <w:szCs w:val="24"/>
        </w:rPr>
        <w:t xml:space="preserve"> При внедряването на иновативните продукти (стоки или услуги) или процеси не трябва да се нарушават чужди права върху интелектуална собственост. Ненарушаването на чужди права върху интелектуална собственост се декларира с Декларация за ненарушаване на чужди права върху интелектуална собственост, попълнена от кандидатите по образец (</w:t>
      </w:r>
      <w:r w:rsidRPr="00DE5AB1">
        <w:rPr>
          <w:rFonts w:eastAsia="Calibri"/>
          <w:sz w:val="24"/>
          <w:szCs w:val="24"/>
        </w:rPr>
        <w:t xml:space="preserve">Приложение </w:t>
      </w:r>
      <w:r w:rsidRPr="00DE5AB1">
        <w:rPr>
          <w:sz w:val="24"/>
          <w:szCs w:val="24"/>
        </w:rPr>
        <w:t>VIII</w:t>
      </w:r>
      <w:r w:rsidRPr="00DE5AB1">
        <w:rPr>
          <w:rFonts w:eastAsia="Calibri"/>
          <w:sz w:val="24"/>
          <w:szCs w:val="24"/>
        </w:rPr>
        <w:t xml:space="preserve"> към</w:t>
      </w:r>
      <w:r w:rsidRPr="00FF085F">
        <w:rPr>
          <w:rFonts w:eastAsia="Calibri"/>
          <w:sz w:val="24"/>
          <w:szCs w:val="24"/>
        </w:rPr>
        <w:t xml:space="preserve"> Условията за кандидатстване). В случай на одобрение на проекта, Декларацията за ненарушаване на чужди права върху интелектуална собственост става неразделна част от договора за предоставяне на безвъзмездна финансова помощ.</w:t>
      </w:r>
    </w:p>
    <w:p w14:paraId="2F03C2B1" w14:textId="77777777" w:rsidR="00206907" w:rsidRPr="00FF085F" w:rsidRDefault="00206907" w:rsidP="00206907">
      <w:pPr>
        <w:spacing w:after="120"/>
        <w:jc w:val="both"/>
        <w:rPr>
          <w:rFonts w:eastAsia="Calibri"/>
          <w:sz w:val="24"/>
          <w:szCs w:val="24"/>
        </w:rPr>
      </w:pPr>
      <w:r w:rsidRPr="00FF085F">
        <w:rPr>
          <w:rFonts w:eastAsia="Calibri"/>
          <w:sz w:val="24"/>
          <w:szCs w:val="24"/>
        </w:rPr>
        <w:t>В случай че по време на или след изпълнението на проекта възникне съдебен спор, касаещ правата върху интелектуална собственост върху продукта (стоката или услугата)/процеса, внедряван чрез проект по настоящата процедура за подбор на проекти, то всички съдебни и произтичащи от съдебния спор разходи се поемат от съответния бенефициент. В случай че съдебният спор приключи с влязло в сила съдебно решение за нарушаване на право върху интелектуална собственост от страна на бенефициента, то той е длъжен да възстанови предоставените по настоящата процедура средства със съответната законна лихва.</w:t>
      </w:r>
    </w:p>
    <w:p w14:paraId="3E50D1AC" w14:textId="77777777" w:rsidR="00206907" w:rsidRDefault="00206907" w:rsidP="00206907">
      <w:pPr>
        <w:spacing w:after="120"/>
        <w:jc w:val="both"/>
        <w:rPr>
          <w:rFonts w:eastAsia="Calibri"/>
          <w:sz w:val="24"/>
          <w:szCs w:val="24"/>
        </w:rPr>
      </w:pPr>
      <w:r w:rsidRPr="007E66DE">
        <w:rPr>
          <w:b/>
          <w:sz w:val="24"/>
          <w:szCs w:val="24"/>
        </w:rPr>
        <w:t>ВАЖНО:</w:t>
      </w:r>
      <w:r w:rsidRPr="007E66DE">
        <w:rPr>
          <w:b/>
        </w:rPr>
        <w:t xml:space="preserve"> </w:t>
      </w:r>
      <w:r w:rsidRPr="00FF085F">
        <w:rPr>
          <w:rFonts w:eastAsia="Calibri"/>
          <w:sz w:val="24"/>
          <w:szCs w:val="24"/>
        </w:rPr>
        <w:t xml:space="preserve">В случай че кандидатът предвижда придобиване на правата на интелектуална собственост върху предложената за внедряване иновация в рамките на проекта, при подаването на проектното предложение е необходимо да бъде предоставен сключен договор за прехвърляне на права по интелектуална собственост, удостоверяващ, че за внедряването на определен продукт (стока или услуга)/процес, кандидатът ще придобие от трето лице чрез закупуване или по друг законосъобразен начин права по интелектуална собственост в рамките на проекта. Придобиването на правата по интелектуална собственост в рамките на срока на изпълнение на проекта е изрично условие за признаване допустимостта на всички разходи, свързани с изпълнението на проекта. В случай че кандидатът не придобие правата по интелектуална собственост в рамките на срока за изпълнение на проекта съгласно договора за предоставяне на безвъзмездна финансова помощ, бенефициентът следва да възстанови предоставените му от Управляващия орган средства </w:t>
      </w:r>
      <w:r>
        <w:rPr>
          <w:rFonts w:eastAsia="Calibri"/>
          <w:sz w:val="24"/>
          <w:szCs w:val="24"/>
        </w:rPr>
        <w:t>със съответната законова лихва.</w:t>
      </w:r>
    </w:p>
    <w:p w14:paraId="3D88975D" w14:textId="77777777" w:rsidR="00206907" w:rsidRDefault="00206907" w:rsidP="00206907">
      <w:pPr>
        <w:spacing w:after="120"/>
        <w:jc w:val="both"/>
        <w:rPr>
          <w:sz w:val="24"/>
          <w:szCs w:val="24"/>
        </w:rPr>
      </w:pPr>
      <w:r w:rsidRPr="000A4F69">
        <w:rPr>
          <w:b/>
          <w:sz w:val="24"/>
          <w:szCs w:val="24"/>
        </w:rPr>
        <w:t xml:space="preserve">ВАЖНО: </w:t>
      </w:r>
      <w:r w:rsidRPr="000A4F69">
        <w:rPr>
          <w:sz w:val="24"/>
          <w:szCs w:val="24"/>
        </w:rPr>
        <w:t xml:space="preserve">В случай че на етап кандидатстване кандидатът е представил заявка за патент/полезен модел/промишлен дизайн, придобиването на патент за изобретение, свидетелство за регистрация на полезен модел, свидетелство за регистрация на промишлен дизайн по отношение на представената заявка следва да бъде осъществено в рамките на </w:t>
      </w:r>
      <w:r w:rsidRPr="000A4F69">
        <w:rPr>
          <w:b/>
          <w:sz w:val="24"/>
          <w:szCs w:val="24"/>
        </w:rPr>
        <w:t>срок от 3 години след приключването на проекта</w:t>
      </w:r>
      <w:r w:rsidRPr="000A4F69">
        <w:rPr>
          <w:sz w:val="24"/>
          <w:szCs w:val="24"/>
        </w:rPr>
        <w:t>. Придобиването на защитен документ по отношението на представената заявка е изрично условие за признаване допустимостта на всички разходи, свързани с изпълнението на проекта. В случай че не придобие патент за изобретение, свидетелство за регистрация на полезен модел или свидетелство за регистрация на промишлен дизайн</w:t>
      </w:r>
      <w:r w:rsidRPr="000A4F69">
        <w:rPr>
          <w:spacing w:val="15"/>
          <w:sz w:val="24"/>
          <w:szCs w:val="24"/>
        </w:rPr>
        <w:t xml:space="preserve"> </w:t>
      </w:r>
      <w:r w:rsidRPr="000A4F69">
        <w:rPr>
          <w:sz w:val="24"/>
          <w:szCs w:val="24"/>
        </w:rPr>
        <w:t>в</w:t>
      </w:r>
      <w:r w:rsidRPr="000A4F69">
        <w:rPr>
          <w:spacing w:val="15"/>
          <w:sz w:val="24"/>
          <w:szCs w:val="24"/>
        </w:rPr>
        <w:t xml:space="preserve"> </w:t>
      </w:r>
      <w:r w:rsidRPr="000A4F69">
        <w:rPr>
          <w:sz w:val="24"/>
          <w:szCs w:val="24"/>
        </w:rPr>
        <w:t>рамките</w:t>
      </w:r>
      <w:r w:rsidRPr="000A4F69">
        <w:rPr>
          <w:spacing w:val="14"/>
          <w:sz w:val="24"/>
          <w:szCs w:val="24"/>
        </w:rPr>
        <w:t xml:space="preserve"> </w:t>
      </w:r>
      <w:r w:rsidRPr="000A4F69">
        <w:rPr>
          <w:sz w:val="24"/>
          <w:szCs w:val="24"/>
        </w:rPr>
        <w:t>на</w:t>
      </w:r>
      <w:r w:rsidRPr="000A4F69">
        <w:rPr>
          <w:spacing w:val="14"/>
          <w:sz w:val="24"/>
          <w:szCs w:val="24"/>
        </w:rPr>
        <w:t xml:space="preserve"> </w:t>
      </w:r>
      <w:r w:rsidRPr="000A4F69">
        <w:rPr>
          <w:sz w:val="24"/>
          <w:szCs w:val="24"/>
        </w:rPr>
        <w:t>срок</w:t>
      </w:r>
      <w:r w:rsidRPr="000A4F69">
        <w:rPr>
          <w:spacing w:val="15"/>
          <w:sz w:val="24"/>
          <w:szCs w:val="24"/>
        </w:rPr>
        <w:t xml:space="preserve"> </w:t>
      </w:r>
      <w:r w:rsidRPr="000A4F69">
        <w:rPr>
          <w:sz w:val="24"/>
          <w:szCs w:val="24"/>
        </w:rPr>
        <w:t>от</w:t>
      </w:r>
      <w:r w:rsidRPr="000A4F69">
        <w:rPr>
          <w:spacing w:val="16"/>
          <w:sz w:val="24"/>
          <w:szCs w:val="24"/>
        </w:rPr>
        <w:t xml:space="preserve"> </w:t>
      </w:r>
      <w:r w:rsidRPr="000A4F69">
        <w:rPr>
          <w:sz w:val="24"/>
          <w:szCs w:val="24"/>
        </w:rPr>
        <w:t>3</w:t>
      </w:r>
      <w:r w:rsidRPr="000A4F69">
        <w:rPr>
          <w:spacing w:val="14"/>
          <w:sz w:val="24"/>
          <w:szCs w:val="24"/>
        </w:rPr>
        <w:t xml:space="preserve"> </w:t>
      </w:r>
      <w:r w:rsidRPr="000A4F69">
        <w:rPr>
          <w:sz w:val="24"/>
          <w:szCs w:val="24"/>
        </w:rPr>
        <w:t>години</w:t>
      </w:r>
      <w:r w:rsidRPr="000A4F69">
        <w:rPr>
          <w:spacing w:val="16"/>
          <w:sz w:val="24"/>
          <w:szCs w:val="24"/>
        </w:rPr>
        <w:t xml:space="preserve"> </w:t>
      </w:r>
      <w:r w:rsidRPr="000A4F69">
        <w:rPr>
          <w:sz w:val="24"/>
          <w:szCs w:val="24"/>
        </w:rPr>
        <w:t>след</w:t>
      </w:r>
      <w:r w:rsidRPr="000A4F69">
        <w:rPr>
          <w:spacing w:val="15"/>
          <w:sz w:val="24"/>
          <w:szCs w:val="24"/>
        </w:rPr>
        <w:t xml:space="preserve"> </w:t>
      </w:r>
      <w:r w:rsidRPr="000A4F69">
        <w:rPr>
          <w:sz w:val="24"/>
          <w:szCs w:val="24"/>
        </w:rPr>
        <w:t>приключването</w:t>
      </w:r>
      <w:r w:rsidRPr="000A4F69">
        <w:rPr>
          <w:spacing w:val="15"/>
          <w:sz w:val="24"/>
          <w:szCs w:val="24"/>
        </w:rPr>
        <w:t xml:space="preserve"> </w:t>
      </w:r>
      <w:r w:rsidRPr="000A4F69">
        <w:rPr>
          <w:sz w:val="24"/>
          <w:szCs w:val="24"/>
        </w:rPr>
        <w:t>на</w:t>
      </w:r>
      <w:r w:rsidRPr="000A4F69">
        <w:rPr>
          <w:spacing w:val="14"/>
          <w:sz w:val="24"/>
          <w:szCs w:val="24"/>
        </w:rPr>
        <w:t xml:space="preserve"> </w:t>
      </w:r>
      <w:r w:rsidRPr="000A4F69">
        <w:rPr>
          <w:sz w:val="24"/>
          <w:szCs w:val="24"/>
        </w:rPr>
        <w:t>проекта,</w:t>
      </w:r>
      <w:r w:rsidRPr="000A4F69">
        <w:rPr>
          <w:spacing w:val="14"/>
          <w:sz w:val="24"/>
          <w:szCs w:val="24"/>
        </w:rPr>
        <w:t xml:space="preserve"> </w:t>
      </w:r>
      <w:r w:rsidRPr="000A4F69">
        <w:rPr>
          <w:sz w:val="24"/>
          <w:szCs w:val="24"/>
        </w:rPr>
        <w:t>бенефициентът следва да възстанови предоставените му от Управляващия орган средства със съответната законова лихва.</w:t>
      </w:r>
      <w:r w:rsidRPr="00747E68">
        <w:rPr>
          <w:sz w:val="24"/>
          <w:szCs w:val="24"/>
        </w:rPr>
        <w:t xml:space="preserve"> </w:t>
      </w:r>
    </w:p>
    <w:p w14:paraId="3C23A97F" w14:textId="77777777" w:rsidR="00206907" w:rsidRPr="009B6BE0" w:rsidRDefault="00206907" w:rsidP="00206907">
      <w:pPr>
        <w:spacing w:after="120"/>
        <w:jc w:val="both"/>
        <w:rPr>
          <w:sz w:val="24"/>
          <w:szCs w:val="24"/>
        </w:rPr>
      </w:pPr>
      <w:r w:rsidRPr="009B6BE0">
        <w:rPr>
          <w:b/>
          <w:sz w:val="24"/>
          <w:szCs w:val="24"/>
        </w:rPr>
        <w:t>5.</w:t>
      </w:r>
      <w:r w:rsidRPr="009B6BE0">
        <w:rPr>
          <w:b/>
          <w:i/>
          <w:sz w:val="24"/>
          <w:szCs w:val="24"/>
        </w:rPr>
        <w:t xml:space="preserve"> Проектът следва да бъде технически</w:t>
      </w:r>
      <w:r w:rsidRPr="009B6BE0">
        <w:rPr>
          <w:b/>
          <w:i/>
          <w:spacing w:val="-5"/>
          <w:sz w:val="24"/>
          <w:szCs w:val="24"/>
        </w:rPr>
        <w:t xml:space="preserve"> </w:t>
      </w:r>
      <w:r w:rsidRPr="009B6BE0">
        <w:rPr>
          <w:b/>
          <w:i/>
          <w:sz w:val="24"/>
          <w:szCs w:val="24"/>
        </w:rPr>
        <w:t>осъществим</w:t>
      </w:r>
      <w:r w:rsidRPr="009B6BE0">
        <w:rPr>
          <w:sz w:val="24"/>
          <w:szCs w:val="24"/>
        </w:rPr>
        <w:t>.</w:t>
      </w:r>
    </w:p>
    <w:p w14:paraId="3F2A3764" w14:textId="77777777" w:rsidR="00206907" w:rsidRPr="009B6BE0" w:rsidRDefault="00206907" w:rsidP="00206907">
      <w:pPr>
        <w:spacing w:after="120"/>
        <w:jc w:val="both"/>
        <w:rPr>
          <w:i/>
          <w:sz w:val="24"/>
          <w:szCs w:val="24"/>
        </w:rPr>
      </w:pPr>
      <w:r w:rsidRPr="009B6BE0">
        <w:rPr>
          <w:b/>
          <w:i/>
          <w:sz w:val="24"/>
          <w:szCs w:val="24"/>
        </w:rPr>
        <w:lastRenderedPageBreak/>
        <w:t>6. Дейностите по процедурата следва да се изпълняват на територията на</w:t>
      </w:r>
      <w:r w:rsidRPr="009B6BE0">
        <w:rPr>
          <w:sz w:val="24"/>
          <w:szCs w:val="24"/>
        </w:rPr>
        <w:t xml:space="preserve"> </w:t>
      </w:r>
      <w:r w:rsidRPr="009B6BE0">
        <w:rPr>
          <w:b/>
          <w:i/>
          <w:sz w:val="24"/>
          <w:szCs w:val="24"/>
        </w:rPr>
        <w:t>МИГ „Струма - Симитли, Кресна и Струмяни“</w:t>
      </w:r>
      <w:r w:rsidRPr="009B6BE0">
        <w:rPr>
          <w:i/>
          <w:sz w:val="24"/>
          <w:szCs w:val="24"/>
        </w:rPr>
        <w:t>.</w:t>
      </w:r>
    </w:p>
    <w:p w14:paraId="0EBABBDC" w14:textId="77777777" w:rsidR="0026304E" w:rsidRPr="00BA633A" w:rsidRDefault="0026304E">
      <w:pPr>
        <w:pStyle w:val="BodyText"/>
        <w:spacing w:before="7"/>
      </w:pPr>
    </w:p>
    <w:p w14:paraId="00D95633" w14:textId="12C4FB5D" w:rsidR="00F55EC3" w:rsidRDefault="00F55EC3" w:rsidP="006A4DEF">
      <w:pPr>
        <w:pStyle w:val="Heading2"/>
        <w:numPr>
          <w:ilvl w:val="0"/>
          <w:numId w:val="12"/>
        </w:numPr>
        <w:rPr>
          <w:bCs w:val="0"/>
          <w:color w:val="548DD4" w:themeColor="text2" w:themeTint="99"/>
        </w:rPr>
      </w:pPr>
      <w:r w:rsidRPr="006A4DEF">
        <w:rPr>
          <w:bCs w:val="0"/>
          <w:color w:val="548DD4" w:themeColor="text2" w:themeTint="99"/>
        </w:rPr>
        <w:t>Начин на подаване на проектни предложения</w:t>
      </w:r>
    </w:p>
    <w:p w14:paraId="2CCC8346" w14:textId="5DA01FB2" w:rsidR="00F55EC3" w:rsidRPr="00F55EC3" w:rsidRDefault="00F55EC3" w:rsidP="00F55EC3">
      <w:pPr>
        <w:tabs>
          <w:tab w:val="left" w:pos="284"/>
        </w:tabs>
        <w:spacing w:before="120" w:after="120"/>
        <w:jc w:val="both"/>
        <w:rPr>
          <w:sz w:val="24"/>
          <w:szCs w:val="24"/>
        </w:rPr>
      </w:pPr>
      <w:r w:rsidRPr="00F55EC3">
        <w:rPr>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Информационната система за управление и наблюдение на Структурните инструменти на ЕС в България (ИСУН 2020) се извършва единствено с използването на валиден Квалифициран електронен подпис (КЕП), чрез модула „Е-кандидатстване“ на следния интернет адрес: </w:t>
      </w:r>
      <w:hyperlink r:id="rId12" w:history="1">
        <w:r w:rsidRPr="00F55EC3">
          <w:rPr>
            <w:rStyle w:val="Hyperlink"/>
            <w:sz w:val="24"/>
            <w:szCs w:val="24"/>
          </w:rPr>
          <w:t>https://eumis2020.government.bg</w:t>
        </w:r>
      </w:hyperlink>
      <w:r w:rsidRPr="00F55EC3">
        <w:rPr>
          <w:sz w:val="24"/>
          <w:szCs w:val="24"/>
        </w:rPr>
        <w:t>.</w:t>
      </w:r>
    </w:p>
    <w:p w14:paraId="3CD4D65E" w14:textId="466E7CAC" w:rsidR="00F55EC3" w:rsidRDefault="00F55EC3" w:rsidP="00F55EC3">
      <w:pPr>
        <w:tabs>
          <w:tab w:val="left" w:pos="284"/>
        </w:tabs>
        <w:spacing w:before="120" w:after="120"/>
        <w:jc w:val="both"/>
        <w:rPr>
          <w:b/>
          <w:sz w:val="24"/>
          <w:szCs w:val="24"/>
        </w:rPr>
      </w:pPr>
      <w:r w:rsidRPr="00F55EC3">
        <w:rPr>
          <w:b/>
          <w:sz w:val="24"/>
          <w:szCs w:val="24"/>
        </w:rPr>
        <w:t>Подаването на проектни предложения на хартиен носител по настоящата процедура е неприложимо!</w:t>
      </w:r>
    </w:p>
    <w:p w14:paraId="7A9C7104" w14:textId="77777777" w:rsidR="00EB0A10" w:rsidRDefault="00EB0A10" w:rsidP="00EB0A10">
      <w:pPr>
        <w:pStyle w:val="Heading2"/>
        <w:spacing w:before="90"/>
        <w:ind w:left="0"/>
        <w:jc w:val="both"/>
        <w:rPr>
          <w:b w:val="0"/>
          <w:bCs w:val="0"/>
        </w:rPr>
      </w:pPr>
      <w:r w:rsidRPr="006A4DEF">
        <w:rPr>
          <w:b w:val="0"/>
          <w:bCs w:val="0"/>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 долу, като ясно се посочва наименованието на процедурата за подбор на проекти:</w:t>
      </w:r>
    </w:p>
    <w:p w14:paraId="5EA891C0" w14:textId="77777777" w:rsidR="00EB0A10" w:rsidRPr="006A4DEF" w:rsidRDefault="00EB0A10" w:rsidP="00EB0A10">
      <w:pPr>
        <w:pStyle w:val="BodyText"/>
        <w:spacing w:before="5"/>
        <w:jc w:val="both"/>
      </w:pPr>
    </w:p>
    <w:p w14:paraId="03EC50CA" w14:textId="77777777" w:rsidR="00EB0A10" w:rsidRPr="00BA633A" w:rsidRDefault="00EB0A10" w:rsidP="00EB0A10">
      <w:pPr>
        <w:pStyle w:val="Heading2"/>
        <w:ind w:left="0"/>
      </w:pPr>
      <w:r w:rsidRPr="00BA633A">
        <w:rPr>
          <w:b w:val="0"/>
          <w:spacing w:val="-60"/>
          <w:u w:val="thick"/>
        </w:rPr>
        <w:t xml:space="preserve"> </w:t>
      </w:r>
      <w:r w:rsidRPr="00BA633A">
        <w:rPr>
          <w:u w:val="thick"/>
        </w:rPr>
        <w:t>Лице/а за контакт и място за достъп до подробна информация</w:t>
      </w:r>
      <w:r w:rsidRPr="00BA633A">
        <w:t>:</w:t>
      </w:r>
    </w:p>
    <w:p w14:paraId="1BE4074A" w14:textId="77777777" w:rsidR="00EB0A10" w:rsidRPr="00BA633A" w:rsidRDefault="00EB0A10" w:rsidP="00EB0A10">
      <w:pPr>
        <w:pStyle w:val="BodyText"/>
        <w:spacing w:before="9"/>
        <w:rPr>
          <w:b/>
        </w:rPr>
      </w:pPr>
    </w:p>
    <w:p w14:paraId="15F85450" w14:textId="77777777" w:rsidR="00EB0A10" w:rsidRPr="00BA633A" w:rsidRDefault="00EB0A10" w:rsidP="00EB0A10">
      <w:pPr>
        <w:spacing w:after="120" w:line="23" w:lineRule="atLeast"/>
        <w:jc w:val="both"/>
        <w:rPr>
          <w:sz w:val="24"/>
          <w:szCs w:val="24"/>
        </w:rPr>
      </w:pPr>
      <w:r w:rsidRPr="00BA633A">
        <w:rPr>
          <w:sz w:val="24"/>
          <w:szCs w:val="24"/>
        </w:rPr>
        <w:t xml:space="preserve">Лица за контакт: Веселин Димитров , тел. 0882 44 48 55; </w:t>
      </w:r>
    </w:p>
    <w:p w14:paraId="72C73DE7" w14:textId="77777777" w:rsidR="00EB0A10" w:rsidRDefault="00EB0A10" w:rsidP="00EB0A10">
      <w:pPr>
        <w:spacing w:after="120" w:line="23" w:lineRule="atLeast"/>
        <w:jc w:val="both"/>
        <w:rPr>
          <w:sz w:val="24"/>
          <w:szCs w:val="24"/>
        </w:rPr>
      </w:pPr>
      <w:r w:rsidRPr="00BA633A">
        <w:rPr>
          <w:sz w:val="24"/>
          <w:szCs w:val="24"/>
        </w:rPr>
        <w:tab/>
      </w:r>
      <w:r w:rsidRPr="00BA633A">
        <w:rPr>
          <w:sz w:val="24"/>
          <w:szCs w:val="24"/>
        </w:rPr>
        <w:tab/>
        <w:t xml:space="preserve">      Ивайло Костадинов, тел. 0882 44 48 26.</w:t>
      </w:r>
    </w:p>
    <w:p w14:paraId="609EB3A3" w14:textId="77777777" w:rsidR="00EB0A10" w:rsidRPr="00E02096" w:rsidRDefault="00EB0A10" w:rsidP="00EB0A10">
      <w:pPr>
        <w:spacing w:after="120" w:line="23" w:lineRule="atLeast"/>
        <w:jc w:val="both"/>
        <w:rPr>
          <w:sz w:val="24"/>
          <w:szCs w:val="24"/>
        </w:rPr>
      </w:pPr>
      <w:r>
        <w:rPr>
          <w:sz w:val="24"/>
          <w:szCs w:val="24"/>
        </w:rPr>
        <w:t xml:space="preserve">                              </w:t>
      </w:r>
      <w:r w:rsidRPr="00BA633A">
        <w:rPr>
          <w:sz w:val="24"/>
          <w:szCs w:val="24"/>
        </w:rPr>
        <w:t>е-</w:t>
      </w:r>
      <w:proofErr w:type="spellStart"/>
      <w:r w:rsidRPr="00BA633A">
        <w:rPr>
          <w:sz w:val="24"/>
          <w:szCs w:val="24"/>
        </w:rPr>
        <w:t>mail</w:t>
      </w:r>
      <w:proofErr w:type="spellEnd"/>
      <w:r w:rsidRPr="00BA633A">
        <w:rPr>
          <w:sz w:val="24"/>
          <w:szCs w:val="24"/>
        </w:rPr>
        <w:t xml:space="preserve">: </w:t>
      </w:r>
      <w:r w:rsidRPr="00BA633A">
        <w:rPr>
          <w:rStyle w:val="Hyperlink"/>
          <w:sz w:val="24"/>
          <w:szCs w:val="24"/>
          <w:lang w:val="en-US"/>
        </w:rPr>
        <w:t>lag</w:t>
      </w:r>
      <w:r w:rsidRPr="00E02096">
        <w:rPr>
          <w:rStyle w:val="Hyperlink"/>
          <w:sz w:val="24"/>
          <w:szCs w:val="24"/>
        </w:rPr>
        <w:t>.</w:t>
      </w:r>
      <w:proofErr w:type="spellStart"/>
      <w:r w:rsidRPr="00BA633A">
        <w:rPr>
          <w:rStyle w:val="Hyperlink"/>
          <w:sz w:val="24"/>
          <w:szCs w:val="24"/>
          <w:lang w:val="en-US"/>
        </w:rPr>
        <w:t>simitli</w:t>
      </w:r>
      <w:proofErr w:type="spellEnd"/>
      <w:r w:rsidRPr="00E02096">
        <w:rPr>
          <w:rStyle w:val="Hyperlink"/>
          <w:sz w:val="24"/>
          <w:szCs w:val="24"/>
        </w:rPr>
        <w:t>.</w:t>
      </w:r>
      <w:proofErr w:type="spellStart"/>
      <w:r w:rsidRPr="00BA633A">
        <w:rPr>
          <w:rStyle w:val="Hyperlink"/>
          <w:sz w:val="24"/>
          <w:szCs w:val="24"/>
          <w:lang w:val="en-US"/>
        </w:rPr>
        <w:t>kresna</w:t>
      </w:r>
      <w:proofErr w:type="spellEnd"/>
      <w:r w:rsidRPr="00E02096">
        <w:rPr>
          <w:rStyle w:val="Hyperlink"/>
          <w:sz w:val="24"/>
          <w:szCs w:val="24"/>
        </w:rPr>
        <w:t>.</w:t>
      </w:r>
      <w:proofErr w:type="spellStart"/>
      <w:r w:rsidRPr="00BA633A">
        <w:rPr>
          <w:rStyle w:val="Hyperlink"/>
          <w:sz w:val="24"/>
          <w:szCs w:val="24"/>
          <w:lang w:val="en-US"/>
        </w:rPr>
        <w:t>strumiani</w:t>
      </w:r>
      <w:proofErr w:type="spellEnd"/>
      <w:r w:rsidRPr="00E02096">
        <w:rPr>
          <w:rStyle w:val="Hyperlink"/>
          <w:sz w:val="24"/>
          <w:szCs w:val="24"/>
        </w:rPr>
        <w:t>@</w:t>
      </w:r>
      <w:proofErr w:type="spellStart"/>
      <w:r w:rsidRPr="00BA633A">
        <w:rPr>
          <w:rStyle w:val="Hyperlink"/>
          <w:sz w:val="24"/>
          <w:szCs w:val="24"/>
          <w:lang w:val="en-US"/>
        </w:rPr>
        <w:t>gmail</w:t>
      </w:r>
      <w:proofErr w:type="spellEnd"/>
      <w:r w:rsidRPr="00E02096">
        <w:rPr>
          <w:rStyle w:val="Hyperlink"/>
          <w:sz w:val="24"/>
          <w:szCs w:val="24"/>
        </w:rPr>
        <w:t>.</w:t>
      </w:r>
      <w:r w:rsidRPr="00BA633A">
        <w:rPr>
          <w:rStyle w:val="Hyperlink"/>
          <w:sz w:val="24"/>
          <w:szCs w:val="24"/>
          <w:lang w:val="en-US"/>
        </w:rPr>
        <w:t>com</w:t>
      </w:r>
    </w:p>
    <w:p w14:paraId="435E63A2" w14:textId="77777777" w:rsidR="00EB0A10" w:rsidRPr="00BA633A" w:rsidRDefault="00EB0A10" w:rsidP="00EB0A10">
      <w:pPr>
        <w:spacing w:after="120" w:line="23" w:lineRule="atLeast"/>
        <w:jc w:val="both"/>
        <w:rPr>
          <w:sz w:val="24"/>
          <w:szCs w:val="24"/>
        </w:rPr>
      </w:pPr>
    </w:p>
    <w:p w14:paraId="17211B84" w14:textId="77777777" w:rsidR="00EB0A10" w:rsidRPr="002F220F" w:rsidRDefault="00EB0A10" w:rsidP="00EB0A10">
      <w:pPr>
        <w:spacing w:after="120" w:line="23" w:lineRule="atLeast"/>
        <w:jc w:val="both"/>
        <w:rPr>
          <w:b/>
          <w:sz w:val="24"/>
          <w:szCs w:val="24"/>
          <w:u w:val="single"/>
        </w:rPr>
      </w:pPr>
      <w:r w:rsidRPr="002F220F">
        <w:rPr>
          <w:b/>
          <w:sz w:val="24"/>
          <w:szCs w:val="24"/>
          <w:u w:val="single"/>
        </w:rPr>
        <w:t>Пълният пакет документи за кандидатстване са публикувани на следните интернет адреси:</w:t>
      </w:r>
    </w:p>
    <w:p w14:paraId="6C294C60" w14:textId="77777777" w:rsidR="00EB0A10" w:rsidRPr="00BA633A" w:rsidRDefault="00EB0A10" w:rsidP="00EB0A10">
      <w:pPr>
        <w:widowControl/>
        <w:numPr>
          <w:ilvl w:val="0"/>
          <w:numId w:val="13"/>
        </w:numPr>
        <w:tabs>
          <w:tab w:val="left" w:pos="142"/>
        </w:tabs>
        <w:autoSpaceDE/>
        <w:autoSpaceDN/>
        <w:snapToGrid w:val="0"/>
        <w:spacing w:after="120" w:line="23" w:lineRule="atLeast"/>
        <w:jc w:val="both"/>
        <w:rPr>
          <w:sz w:val="24"/>
          <w:szCs w:val="24"/>
        </w:rPr>
      </w:pPr>
      <w:r w:rsidRPr="00BA633A">
        <w:rPr>
          <w:sz w:val="24"/>
          <w:szCs w:val="24"/>
        </w:rPr>
        <w:t xml:space="preserve">на сайта на Сдружение „МИГ Струма-Симитли, Кресна и Струмяни“ - </w:t>
      </w:r>
      <w:hyperlink r:id="rId13" w:history="1">
        <w:r w:rsidRPr="00BA633A">
          <w:rPr>
            <w:rStyle w:val="Hyperlink"/>
            <w:sz w:val="24"/>
            <w:szCs w:val="24"/>
          </w:rPr>
          <w:t>http://www.mig-</w:t>
        </w:r>
        <w:proofErr w:type="spellStart"/>
        <w:r w:rsidRPr="00BA633A">
          <w:rPr>
            <w:rStyle w:val="Hyperlink"/>
            <w:sz w:val="24"/>
            <w:szCs w:val="24"/>
            <w:lang w:val="en-US"/>
          </w:rPr>
          <w:t>struma</w:t>
        </w:r>
        <w:proofErr w:type="spellEnd"/>
        <w:r w:rsidRPr="00BA633A">
          <w:rPr>
            <w:rStyle w:val="Hyperlink"/>
            <w:sz w:val="24"/>
            <w:szCs w:val="24"/>
          </w:rPr>
          <w:t>.</w:t>
        </w:r>
        <w:proofErr w:type="spellStart"/>
        <w:r w:rsidRPr="00BA633A">
          <w:rPr>
            <w:rStyle w:val="Hyperlink"/>
            <w:sz w:val="24"/>
            <w:szCs w:val="24"/>
          </w:rPr>
          <w:t>eu</w:t>
        </w:r>
        <w:proofErr w:type="spellEnd"/>
        <w:r w:rsidRPr="00BA633A">
          <w:rPr>
            <w:rStyle w:val="Hyperlink"/>
            <w:sz w:val="24"/>
            <w:szCs w:val="24"/>
          </w:rPr>
          <w:t>/</w:t>
        </w:r>
      </w:hyperlink>
      <w:r w:rsidRPr="00BA633A">
        <w:rPr>
          <w:sz w:val="24"/>
          <w:szCs w:val="24"/>
        </w:rPr>
        <w:t>;</w:t>
      </w:r>
    </w:p>
    <w:p w14:paraId="1F6BF467" w14:textId="77777777" w:rsidR="00EB0A10" w:rsidRPr="00BA633A" w:rsidRDefault="00EB0A10" w:rsidP="00EB0A10">
      <w:pPr>
        <w:widowControl/>
        <w:numPr>
          <w:ilvl w:val="0"/>
          <w:numId w:val="13"/>
        </w:numPr>
        <w:tabs>
          <w:tab w:val="left" w:pos="142"/>
        </w:tabs>
        <w:autoSpaceDE/>
        <w:autoSpaceDN/>
        <w:snapToGrid w:val="0"/>
        <w:spacing w:after="120" w:line="23" w:lineRule="atLeast"/>
        <w:jc w:val="both"/>
        <w:rPr>
          <w:b/>
          <w:sz w:val="24"/>
          <w:szCs w:val="24"/>
        </w:rPr>
      </w:pPr>
      <w:r w:rsidRPr="00BA633A">
        <w:rPr>
          <w:sz w:val="24"/>
          <w:szCs w:val="24"/>
        </w:rPr>
        <w:t xml:space="preserve">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 </w:t>
      </w:r>
      <w:hyperlink r:id="rId14" w:history="1">
        <w:r w:rsidRPr="00BA633A">
          <w:rPr>
            <w:rStyle w:val="Hyperlink"/>
            <w:sz w:val="24"/>
            <w:szCs w:val="24"/>
          </w:rPr>
          <w:t>http://www.eufunds.bg</w:t>
        </w:r>
      </w:hyperlink>
      <w:r w:rsidRPr="00BA633A">
        <w:rPr>
          <w:b/>
          <w:sz w:val="24"/>
          <w:szCs w:val="24"/>
        </w:rPr>
        <w:t xml:space="preserve">. </w:t>
      </w:r>
    </w:p>
    <w:p w14:paraId="70FB8CD8" w14:textId="77777777" w:rsidR="006A4DEF" w:rsidRPr="00F55EC3" w:rsidRDefault="006A4DEF" w:rsidP="00F55EC3">
      <w:pPr>
        <w:tabs>
          <w:tab w:val="left" w:pos="284"/>
        </w:tabs>
        <w:spacing w:before="120" w:after="120"/>
        <w:jc w:val="both"/>
        <w:rPr>
          <w:b/>
          <w:sz w:val="24"/>
          <w:szCs w:val="24"/>
        </w:rPr>
      </w:pPr>
    </w:p>
    <w:p w14:paraId="335DA9D8" w14:textId="77777777" w:rsidR="00947F3C" w:rsidRDefault="00F55EC3" w:rsidP="00947F3C">
      <w:pPr>
        <w:pStyle w:val="Heading2"/>
        <w:numPr>
          <w:ilvl w:val="0"/>
          <w:numId w:val="12"/>
        </w:numPr>
        <w:spacing w:after="120"/>
        <w:rPr>
          <w:bCs w:val="0"/>
          <w:color w:val="548DD4" w:themeColor="text2" w:themeTint="99"/>
        </w:rPr>
      </w:pPr>
      <w:r w:rsidRPr="006A4DEF">
        <w:rPr>
          <w:bCs w:val="0"/>
          <w:color w:val="548DD4" w:themeColor="text2" w:themeTint="99"/>
        </w:rPr>
        <w:t>Краен срок за подаване на проектните предложени</w:t>
      </w:r>
    </w:p>
    <w:p w14:paraId="129E639A" w14:textId="77777777" w:rsidR="00EB0A10" w:rsidRPr="00EB0A10" w:rsidRDefault="00EB0A10" w:rsidP="00EB0A10">
      <w:pPr>
        <w:spacing w:after="120"/>
        <w:rPr>
          <w:b/>
          <w:sz w:val="24"/>
          <w:szCs w:val="24"/>
        </w:rPr>
      </w:pPr>
      <w:r w:rsidRPr="00EB0A10">
        <w:rPr>
          <w:b/>
          <w:sz w:val="24"/>
          <w:szCs w:val="24"/>
        </w:rPr>
        <w:t>Процедурата е с два крайни срока за кандидатстване:</w:t>
      </w:r>
    </w:p>
    <w:p w14:paraId="615FD2E0" w14:textId="3F86C117" w:rsidR="00EB0A10" w:rsidRPr="00EB0A10" w:rsidRDefault="00EB0A10" w:rsidP="00EB0A10">
      <w:pPr>
        <w:spacing w:after="120"/>
        <w:ind w:left="720"/>
        <w:rPr>
          <w:b/>
          <w:sz w:val="24"/>
          <w:szCs w:val="24"/>
        </w:rPr>
      </w:pPr>
      <w:r w:rsidRPr="00EB0A10">
        <w:rPr>
          <w:b/>
          <w:sz w:val="24"/>
          <w:szCs w:val="24"/>
        </w:rPr>
        <w:t>Първи краен срок за подаване на проектните предложения 30.12.2020 г., 17.00 часа;</w:t>
      </w:r>
    </w:p>
    <w:p w14:paraId="3429C39A" w14:textId="6D6C63A1" w:rsidR="00EB0A10" w:rsidRPr="00D329A1" w:rsidRDefault="00EB0A10" w:rsidP="00EB0A10">
      <w:pPr>
        <w:spacing w:after="120"/>
        <w:ind w:left="720"/>
        <w:rPr>
          <w:b/>
          <w:sz w:val="24"/>
          <w:szCs w:val="24"/>
          <w:u w:val="single"/>
        </w:rPr>
      </w:pPr>
      <w:r w:rsidRPr="00EB0A10">
        <w:rPr>
          <w:b/>
          <w:sz w:val="24"/>
          <w:szCs w:val="24"/>
        </w:rPr>
        <w:t>Втори краен срок за подав</w:t>
      </w:r>
      <w:r w:rsidR="00AE37C1">
        <w:rPr>
          <w:b/>
          <w:sz w:val="24"/>
          <w:szCs w:val="24"/>
        </w:rPr>
        <w:t xml:space="preserve">ане на проектните предложения </w:t>
      </w:r>
      <w:r w:rsidR="00AE37C1" w:rsidRPr="00D329A1">
        <w:rPr>
          <w:b/>
          <w:sz w:val="24"/>
          <w:szCs w:val="24"/>
          <w:u w:val="single"/>
        </w:rPr>
        <w:t>31</w:t>
      </w:r>
      <w:r w:rsidRPr="00D329A1">
        <w:rPr>
          <w:b/>
          <w:sz w:val="24"/>
          <w:szCs w:val="24"/>
          <w:u w:val="single"/>
        </w:rPr>
        <w:t>.0</w:t>
      </w:r>
      <w:r w:rsidR="0022712A" w:rsidRPr="00D329A1">
        <w:rPr>
          <w:b/>
          <w:sz w:val="24"/>
          <w:szCs w:val="24"/>
          <w:u w:val="single"/>
        </w:rPr>
        <w:t>5</w:t>
      </w:r>
      <w:r w:rsidRPr="00D329A1">
        <w:rPr>
          <w:b/>
          <w:sz w:val="24"/>
          <w:szCs w:val="24"/>
          <w:u w:val="single"/>
        </w:rPr>
        <w:t>.202</w:t>
      </w:r>
      <w:r w:rsidR="00BE77D8" w:rsidRPr="00D329A1">
        <w:rPr>
          <w:b/>
          <w:sz w:val="24"/>
          <w:szCs w:val="24"/>
          <w:u w:val="single"/>
        </w:rPr>
        <w:t>1</w:t>
      </w:r>
      <w:r w:rsidRPr="00D329A1">
        <w:rPr>
          <w:b/>
          <w:sz w:val="24"/>
          <w:szCs w:val="24"/>
          <w:u w:val="single"/>
        </w:rPr>
        <w:t xml:space="preserve"> г., 17.00 часа.</w:t>
      </w:r>
    </w:p>
    <w:p w14:paraId="07DC9353" w14:textId="77777777" w:rsidR="00EB0A10" w:rsidRPr="00EB0A10" w:rsidRDefault="00EB0A10" w:rsidP="00EB0A10">
      <w:pPr>
        <w:tabs>
          <w:tab w:val="left" w:pos="284"/>
        </w:tabs>
        <w:spacing w:before="120" w:after="120"/>
        <w:jc w:val="both"/>
        <w:rPr>
          <w:sz w:val="24"/>
          <w:szCs w:val="24"/>
        </w:rPr>
      </w:pPr>
      <w:r w:rsidRPr="00EB0A10">
        <w:rPr>
          <w:sz w:val="24"/>
          <w:szCs w:val="24"/>
        </w:rPr>
        <w:t>В рамките на определените срокове за прием на проектни предложения, кандидатите могат да подават своите проектни предложения само по електронен път, чрез ИСУН 2020.</w:t>
      </w:r>
    </w:p>
    <w:p w14:paraId="6065B1B4" w14:textId="77777777" w:rsidR="00EB0A10" w:rsidRPr="00EB0A10" w:rsidRDefault="00EB0A10" w:rsidP="00EB0A10">
      <w:pPr>
        <w:tabs>
          <w:tab w:val="left" w:pos="284"/>
        </w:tabs>
        <w:spacing w:before="120" w:after="120"/>
        <w:jc w:val="both"/>
        <w:rPr>
          <w:sz w:val="24"/>
          <w:szCs w:val="24"/>
        </w:rPr>
      </w:pPr>
      <w:r w:rsidRPr="00EB0A10">
        <w:rPr>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14:paraId="0CAEC7D3" w14:textId="77777777" w:rsidR="00EB0A10" w:rsidRDefault="00EB0A10" w:rsidP="00947F3C">
      <w:pPr>
        <w:pStyle w:val="Heading2"/>
        <w:spacing w:before="90"/>
        <w:ind w:left="0"/>
        <w:jc w:val="both"/>
        <w:rPr>
          <w:b w:val="0"/>
          <w:bCs w:val="0"/>
        </w:rPr>
      </w:pPr>
    </w:p>
    <w:p w14:paraId="2834ACF9" w14:textId="77777777" w:rsidR="00EB0A10" w:rsidRDefault="00EB0A10" w:rsidP="00947F3C">
      <w:pPr>
        <w:pStyle w:val="Heading2"/>
        <w:spacing w:before="90"/>
        <w:ind w:left="0"/>
        <w:jc w:val="both"/>
        <w:rPr>
          <w:b w:val="0"/>
          <w:bCs w:val="0"/>
        </w:rPr>
      </w:pPr>
    </w:p>
    <w:p w14:paraId="5AEBB06A" w14:textId="77777777" w:rsidR="0026304E" w:rsidRPr="00BA633A" w:rsidRDefault="0026304E" w:rsidP="00C63D8D">
      <w:pPr>
        <w:pStyle w:val="BodyText"/>
        <w:spacing w:before="90"/>
        <w:ind w:right="216"/>
        <w:jc w:val="both"/>
      </w:pPr>
      <w:bookmarkStart w:id="0" w:name="_GoBack"/>
      <w:bookmarkEnd w:id="0"/>
    </w:p>
    <w:sectPr w:rsidR="0026304E" w:rsidRPr="00BA633A" w:rsidSect="00B52951">
      <w:pgSz w:w="12240" w:h="15840"/>
      <w:pgMar w:top="740" w:right="90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BA2F1" w14:textId="77777777" w:rsidR="004312CB" w:rsidRDefault="004312CB" w:rsidP="00206907">
      <w:r>
        <w:separator/>
      </w:r>
    </w:p>
  </w:endnote>
  <w:endnote w:type="continuationSeparator" w:id="0">
    <w:p w14:paraId="14CA0E34" w14:textId="77777777" w:rsidR="004312CB" w:rsidRDefault="004312CB" w:rsidP="0020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3CB8F" w14:textId="77777777" w:rsidR="004312CB" w:rsidRDefault="004312CB" w:rsidP="00206907">
      <w:r>
        <w:separator/>
      </w:r>
    </w:p>
  </w:footnote>
  <w:footnote w:type="continuationSeparator" w:id="0">
    <w:p w14:paraId="3B938A6E" w14:textId="77777777" w:rsidR="004312CB" w:rsidRDefault="004312CB" w:rsidP="00206907">
      <w:r>
        <w:continuationSeparator/>
      </w:r>
    </w:p>
  </w:footnote>
  <w:footnote w:id="1">
    <w:p w14:paraId="70FFC065" w14:textId="77777777" w:rsidR="00206907" w:rsidRPr="00B52951" w:rsidRDefault="00206907" w:rsidP="00B52951">
      <w:pPr>
        <w:pStyle w:val="FootnoteText"/>
        <w:rPr>
          <w:rFonts w:ascii="Times New Roman" w:hAnsi="Times New Roman" w:cs="Times New Roman"/>
          <w:sz w:val="18"/>
          <w:szCs w:val="18"/>
        </w:rPr>
      </w:pPr>
      <w:r w:rsidRPr="00B52951">
        <w:rPr>
          <w:rStyle w:val="FootnoteReference"/>
          <w:rFonts w:ascii="Times New Roman" w:hAnsi="Times New Roman" w:cs="Times New Roman"/>
          <w:sz w:val="18"/>
          <w:szCs w:val="18"/>
        </w:rPr>
        <w:footnoteRef/>
      </w:r>
      <w:r w:rsidRPr="00B52951">
        <w:rPr>
          <w:rFonts w:ascii="Times New Roman" w:hAnsi="Times New Roman" w:cs="Times New Roman"/>
          <w:sz w:val="18"/>
          <w:szCs w:val="18"/>
        </w:rPr>
        <w:t xml:space="preserve"> По смисъла на чл. 2, </w:t>
      </w:r>
      <w:proofErr w:type="spellStart"/>
      <w:r w:rsidRPr="00B52951">
        <w:rPr>
          <w:rFonts w:ascii="Times New Roman" w:hAnsi="Times New Roman" w:cs="Times New Roman"/>
          <w:sz w:val="18"/>
          <w:szCs w:val="18"/>
        </w:rPr>
        <w:t>пар</w:t>
      </w:r>
      <w:proofErr w:type="spellEnd"/>
      <w:r w:rsidRPr="00B52951">
        <w:rPr>
          <w:rFonts w:ascii="Times New Roman" w:hAnsi="Times New Roman" w:cs="Times New Roman"/>
          <w:sz w:val="18"/>
          <w:szCs w:val="18"/>
        </w:rPr>
        <w:t>. 2 от Регламент (ЕС) № 1407/2013 на Комисията.</w:t>
      </w:r>
    </w:p>
  </w:footnote>
  <w:footnote w:id="2">
    <w:p w14:paraId="0CC1EC93" w14:textId="77777777" w:rsidR="00B52951" w:rsidRPr="00B52951" w:rsidRDefault="00B52951" w:rsidP="00B52951">
      <w:pPr>
        <w:ind w:right="-380"/>
        <w:contextualSpacing/>
        <w:rPr>
          <w:sz w:val="18"/>
          <w:szCs w:val="18"/>
        </w:rPr>
      </w:pPr>
      <w:r w:rsidRPr="00B52951">
        <w:rPr>
          <w:rStyle w:val="a"/>
          <w:sz w:val="18"/>
          <w:szCs w:val="18"/>
        </w:rPr>
        <w:footnoteRef/>
      </w:r>
      <w:r w:rsidRPr="00B52951">
        <w:rPr>
          <w:sz w:val="18"/>
          <w:szCs w:val="18"/>
        </w:rPr>
        <w:t xml:space="preserve"> </w:t>
      </w:r>
      <w:r w:rsidRPr="00B52951">
        <w:rPr>
          <w:sz w:val="18"/>
          <w:szCs w:val="18"/>
        </w:rPr>
        <w:t>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069D7B27" w14:textId="67041F55" w:rsidR="00B52951" w:rsidRPr="00B52951" w:rsidRDefault="00B52951" w:rsidP="00B52951">
      <w:pPr>
        <w:pStyle w:val="FootnoteText"/>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а) дадено предприятие притежава мнозинството от гласовете на акционерите или съдружниците в друго предприятие;</w:t>
      </w:r>
    </w:p>
    <w:p w14:paraId="628A4009" w14:textId="2432E08A" w:rsidR="00B52951" w:rsidRPr="00B52951" w:rsidRDefault="00B52951" w:rsidP="00B52951">
      <w:pPr>
        <w:pStyle w:val="FootnoteText"/>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6CC7944D" w14:textId="4EDCCDBF" w:rsidR="00B52951" w:rsidRPr="00B52951" w:rsidRDefault="00B52951" w:rsidP="00B52951">
      <w:pPr>
        <w:pStyle w:val="FootnoteText"/>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3F91318D" w14:textId="07CDFA66" w:rsidR="00B52951" w:rsidRPr="00B52951" w:rsidRDefault="00B52951" w:rsidP="00B52951">
      <w:pPr>
        <w:pStyle w:val="FootnoteText"/>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4026D77F" w14:textId="040BBEA6" w:rsidR="00B52951" w:rsidRPr="00B52951" w:rsidRDefault="00B52951" w:rsidP="00B52951">
      <w:pPr>
        <w:pStyle w:val="FootnoteText"/>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3">
    <w:p w14:paraId="2D2604D8" w14:textId="77777777" w:rsidR="00B52951" w:rsidRPr="00B52951" w:rsidRDefault="00B52951" w:rsidP="00B52951">
      <w:pPr>
        <w:pStyle w:val="FootnoteText"/>
        <w:jc w:val="both"/>
        <w:rPr>
          <w:rFonts w:ascii="Times New Roman" w:hAnsi="Times New Roman" w:cs="Times New Roman"/>
          <w:sz w:val="18"/>
          <w:szCs w:val="18"/>
        </w:rPr>
      </w:pPr>
      <w:r w:rsidRPr="00B52951">
        <w:rPr>
          <w:rStyle w:val="FootnoteReference"/>
          <w:rFonts w:ascii="Times New Roman" w:hAnsi="Times New Roman" w:cs="Times New Roman"/>
          <w:sz w:val="18"/>
          <w:szCs w:val="18"/>
        </w:rPr>
        <w:footnoteRef/>
      </w:r>
      <w:r w:rsidRPr="00B52951">
        <w:rPr>
          <w:rFonts w:ascii="Times New Roman" w:hAnsi="Times New Roman" w:cs="Times New Roman"/>
          <w:sz w:val="18"/>
          <w:szCs w:val="18"/>
        </w:rPr>
        <w:t xml:space="preserve"> </w:t>
      </w:r>
      <w:r w:rsidRPr="00B52951">
        <w:rPr>
          <w:rFonts w:ascii="Times New Roman" w:hAnsi="Times New Roman" w:cs="Times New Roman"/>
          <w:sz w:val="18"/>
          <w:szCs w:val="18"/>
        </w:rPr>
        <w:t xml:space="preserve">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 </w:t>
      </w:r>
    </w:p>
    <w:p w14:paraId="2694A6EA" w14:textId="77777777" w:rsidR="00B52951" w:rsidRPr="00B52951" w:rsidRDefault="00B52951" w:rsidP="00B52951">
      <w:pPr>
        <w:pStyle w:val="FootnoteText"/>
        <w:jc w:val="both"/>
        <w:rPr>
          <w:rFonts w:ascii="Times New Roman" w:hAnsi="Times New Roman" w:cs="Times New Roman"/>
          <w:sz w:val="18"/>
          <w:szCs w:val="18"/>
        </w:rPr>
      </w:pPr>
      <w:r w:rsidRPr="00B52951">
        <w:rPr>
          <w:rFonts w:ascii="Times New Roman" w:hAnsi="Times New Roman" w:cs="Times New Roman"/>
          <w:sz w:val="18"/>
          <w:szCs w:val="18"/>
        </w:rPr>
        <w:t xml:space="preserve">а) дадено предприятие притежава мнозинството от гласовете на акционерите или съдружниците в друго предприятие; </w:t>
      </w:r>
    </w:p>
    <w:p w14:paraId="2FD42DAF" w14:textId="77777777" w:rsidR="00B52951" w:rsidRPr="00B52951" w:rsidRDefault="00B52951" w:rsidP="00B52951">
      <w:pPr>
        <w:pStyle w:val="FootnoteText"/>
        <w:jc w:val="both"/>
        <w:rPr>
          <w:rFonts w:ascii="Times New Roman" w:hAnsi="Times New Roman" w:cs="Times New Roman"/>
          <w:sz w:val="18"/>
          <w:szCs w:val="18"/>
        </w:rPr>
      </w:pPr>
      <w:r w:rsidRPr="00B52951">
        <w:rPr>
          <w:rFonts w:ascii="Times New Roman" w:hAnsi="Times New Roman" w:cs="Times New Roman"/>
          <w:sz w:val="18"/>
          <w:szCs w:val="18"/>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79E961C5" w14:textId="77777777" w:rsidR="00B52951" w:rsidRPr="00B52951" w:rsidRDefault="00B52951" w:rsidP="00B52951">
      <w:pPr>
        <w:pStyle w:val="FootnoteText"/>
        <w:jc w:val="both"/>
        <w:rPr>
          <w:rFonts w:ascii="Times New Roman" w:hAnsi="Times New Roman" w:cs="Times New Roman"/>
          <w:sz w:val="18"/>
          <w:szCs w:val="18"/>
        </w:rPr>
      </w:pPr>
      <w:r w:rsidRPr="00B52951">
        <w:rPr>
          <w:rFonts w:ascii="Times New Roman" w:hAnsi="Times New Roman" w:cs="Times New Roman"/>
          <w:sz w:val="18"/>
          <w:szCs w:val="18"/>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0958C28C" w14:textId="77777777" w:rsidR="00B52951" w:rsidRPr="00B52951" w:rsidRDefault="00B52951" w:rsidP="00B52951">
      <w:pPr>
        <w:pStyle w:val="FootnoteText"/>
        <w:jc w:val="both"/>
        <w:rPr>
          <w:rFonts w:ascii="Times New Roman" w:hAnsi="Times New Roman" w:cs="Times New Roman"/>
          <w:sz w:val="18"/>
          <w:szCs w:val="18"/>
        </w:rPr>
      </w:pPr>
      <w:r w:rsidRPr="00B52951">
        <w:rPr>
          <w:rFonts w:ascii="Times New Roman" w:hAnsi="Times New Roman" w:cs="Times New Roman"/>
          <w:sz w:val="18"/>
          <w:szCs w:val="18"/>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2D2C31A1" w14:textId="77777777" w:rsidR="00B52951" w:rsidRPr="00B52951" w:rsidRDefault="00B52951" w:rsidP="00B52951">
      <w:pPr>
        <w:pStyle w:val="FootnoteText"/>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4">
    <w:p w14:paraId="1378ACE1" w14:textId="77777777" w:rsidR="00B52951" w:rsidRPr="00B52951" w:rsidRDefault="00B52951" w:rsidP="00B52951">
      <w:pPr>
        <w:pStyle w:val="FootnoteText"/>
        <w:jc w:val="both"/>
        <w:rPr>
          <w:rFonts w:ascii="Times New Roman" w:hAnsi="Times New Roman" w:cs="Times New Roman"/>
          <w:sz w:val="18"/>
          <w:szCs w:val="18"/>
        </w:rPr>
      </w:pPr>
      <w:r w:rsidRPr="00B52951">
        <w:rPr>
          <w:rStyle w:val="FootnoteReference"/>
          <w:rFonts w:ascii="Times New Roman" w:hAnsi="Times New Roman" w:cs="Times New Roman"/>
          <w:sz w:val="18"/>
          <w:szCs w:val="18"/>
        </w:rPr>
        <w:footnoteRef/>
      </w:r>
      <w:r w:rsidRPr="00B52951">
        <w:rPr>
          <w:rFonts w:ascii="Times New Roman" w:hAnsi="Times New Roman" w:cs="Times New Roman"/>
          <w:sz w:val="18"/>
          <w:szCs w:val="18"/>
        </w:rPr>
        <w:t xml:space="preserve"> </w:t>
      </w:r>
      <w:r w:rsidRPr="00B52951">
        <w:rPr>
          <w:rFonts w:ascii="Times New Roman" w:hAnsi="Times New Roman" w:cs="Times New Roman"/>
          <w:sz w:val="18"/>
          <w:szCs w:val="18"/>
        </w:rPr>
        <w:t xml:space="preserve">Помощта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5">
    <w:p w14:paraId="519BD164" w14:textId="77777777" w:rsidR="00206907" w:rsidRPr="003A0408" w:rsidRDefault="00206907" w:rsidP="00206907">
      <w:pPr>
        <w:pStyle w:val="FootnoteText"/>
        <w:jc w:val="both"/>
        <w:rPr>
          <w:rFonts w:ascii="Times New Roman" w:hAnsi="Times New Roman" w:cs="Times New Roman"/>
        </w:rPr>
      </w:pPr>
      <w:r>
        <w:rPr>
          <w:rStyle w:val="FootnoteReference"/>
        </w:rPr>
        <w:footnoteRef/>
      </w:r>
      <w:r>
        <w:t xml:space="preserve"> </w:t>
      </w:r>
      <w:r w:rsidRPr="003A0408">
        <w:rPr>
          <w:rFonts w:ascii="Times New Roman" w:hAnsi="Times New Roman" w:cs="Times New Roman"/>
        </w:rPr>
        <w:t xml:space="preserve">Проектите, реализирани в тематичната област, следва да са съобразени с критериите за недопустимост на кандидатите, описани в т.11.2,  и по-специално </w:t>
      </w:r>
      <w:proofErr w:type="spellStart"/>
      <w:r w:rsidRPr="003A0408">
        <w:rPr>
          <w:rFonts w:ascii="Times New Roman" w:hAnsi="Times New Roman" w:cs="Times New Roman"/>
        </w:rPr>
        <w:t>демаркацията</w:t>
      </w:r>
      <w:proofErr w:type="spellEnd"/>
      <w:r w:rsidRPr="003A0408">
        <w:rPr>
          <w:rFonts w:ascii="Times New Roman" w:hAnsi="Times New Roman" w:cs="Times New Roman"/>
        </w:rPr>
        <w:t xml:space="preserve"> с ПРСР и ограниченията за предприятията от секторите на рибарството и </w:t>
      </w:r>
      <w:proofErr w:type="spellStart"/>
      <w:r w:rsidRPr="003A0408">
        <w:rPr>
          <w:rFonts w:ascii="Times New Roman" w:hAnsi="Times New Roman" w:cs="Times New Roman"/>
        </w:rPr>
        <w:t>аквакултурите</w:t>
      </w:r>
      <w:proofErr w:type="spellEnd"/>
      <w:r w:rsidRPr="003A0408">
        <w:rPr>
          <w:rFonts w:ascii="Times New Roman" w:hAnsi="Times New Roman" w:cs="Times New Roman"/>
        </w:rPr>
        <w:t>, първично производство на селскостопански продукти; преработката и продажбата на селскостопански продукти.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347A"/>
    <w:multiLevelType w:val="hybridMultilevel"/>
    <w:tmpl w:val="4DE22682"/>
    <w:lvl w:ilvl="0" w:tplc="C39CF06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43C6"/>
    <w:multiLevelType w:val="hybridMultilevel"/>
    <w:tmpl w:val="98E8A2B6"/>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D5370"/>
    <w:multiLevelType w:val="hybridMultilevel"/>
    <w:tmpl w:val="63E2388E"/>
    <w:lvl w:ilvl="0" w:tplc="E9249832">
      <w:numFmt w:val="bullet"/>
      <w:lvlText w:val="-"/>
      <w:lvlJc w:val="left"/>
      <w:pPr>
        <w:ind w:left="260" w:hanging="181"/>
      </w:pPr>
      <w:rPr>
        <w:rFonts w:ascii="Times New Roman" w:eastAsia="Times New Roman" w:hAnsi="Times New Roman" w:cs="Times New Roman" w:hint="default"/>
        <w:spacing w:val="-28"/>
        <w:w w:val="99"/>
        <w:sz w:val="24"/>
        <w:szCs w:val="24"/>
        <w:lang w:val="bg-BG" w:eastAsia="bg-BG" w:bidi="bg-BG"/>
      </w:rPr>
    </w:lvl>
    <w:lvl w:ilvl="1" w:tplc="5802DAD4">
      <w:numFmt w:val="bullet"/>
      <w:lvlText w:val="•"/>
      <w:lvlJc w:val="left"/>
      <w:pPr>
        <w:ind w:left="1326" w:hanging="181"/>
      </w:pPr>
      <w:rPr>
        <w:rFonts w:hint="default"/>
        <w:lang w:val="bg-BG" w:eastAsia="bg-BG" w:bidi="bg-BG"/>
      </w:rPr>
    </w:lvl>
    <w:lvl w:ilvl="2" w:tplc="8D26713C">
      <w:numFmt w:val="bullet"/>
      <w:lvlText w:val="•"/>
      <w:lvlJc w:val="left"/>
      <w:pPr>
        <w:ind w:left="2392" w:hanging="181"/>
      </w:pPr>
      <w:rPr>
        <w:rFonts w:hint="default"/>
        <w:lang w:val="bg-BG" w:eastAsia="bg-BG" w:bidi="bg-BG"/>
      </w:rPr>
    </w:lvl>
    <w:lvl w:ilvl="3" w:tplc="7096B574">
      <w:numFmt w:val="bullet"/>
      <w:lvlText w:val="•"/>
      <w:lvlJc w:val="left"/>
      <w:pPr>
        <w:ind w:left="3458" w:hanging="181"/>
      </w:pPr>
      <w:rPr>
        <w:rFonts w:hint="default"/>
        <w:lang w:val="bg-BG" w:eastAsia="bg-BG" w:bidi="bg-BG"/>
      </w:rPr>
    </w:lvl>
    <w:lvl w:ilvl="4" w:tplc="ADE4829C">
      <w:numFmt w:val="bullet"/>
      <w:lvlText w:val="•"/>
      <w:lvlJc w:val="left"/>
      <w:pPr>
        <w:ind w:left="4524" w:hanging="181"/>
      </w:pPr>
      <w:rPr>
        <w:rFonts w:hint="default"/>
        <w:lang w:val="bg-BG" w:eastAsia="bg-BG" w:bidi="bg-BG"/>
      </w:rPr>
    </w:lvl>
    <w:lvl w:ilvl="5" w:tplc="3F8428F4">
      <w:numFmt w:val="bullet"/>
      <w:lvlText w:val="•"/>
      <w:lvlJc w:val="left"/>
      <w:pPr>
        <w:ind w:left="5590" w:hanging="181"/>
      </w:pPr>
      <w:rPr>
        <w:rFonts w:hint="default"/>
        <w:lang w:val="bg-BG" w:eastAsia="bg-BG" w:bidi="bg-BG"/>
      </w:rPr>
    </w:lvl>
    <w:lvl w:ilvl="6" w:tplc="6C6AA9CA">
      <w:numFmt w:val="bullet"/>
      <w:lvlText w:val="•"/>
      <w:lvlJc w:val="left"/>
      <w:pPr>
        <w:ind w:left="6656" w:hanging="181"/>
      </w:pPr>
      <w:rPr>
        <w:rFonts w:hint="default"/>
        <w:lang w:val="bg-BG" w:eastAsia="bg-BG" w:bidi="bg-BG"/>
      </w:rPr>
    </w:lvl>
    <w:lvl w:ilvl="7" w:tplc="52E6B21E">
      <w:numFmt w:val="bullet"/>
      <w:lvlText w:val="•"/>
      <w:lvlJc w:val="left"/>
      <w:pPr>
        <w:ind w:left="7722" w:hanging="181"/>
      </w:pPr>
      <w:rPr>
        <w:rFonts w:hint="default"/>
        <w:lang w:val="bg-BG" w:eastAsia="bg-BG" w:bidi="bg-BG"/>
      </w:rPr>
    </w:lvl>
    <w:lvl w:ilvl="8" w:tplc="A9827B1C">
      <w:numFmt w:val="bullet"/>
      <w:lvlText w:val="•"/>
      <w:lvlJc w:val="left"/>
      <w:pPr>
        <w:ind w:left="8788" w:hanging="181"/>
      </w:pPr>
      <w:rPr>
        <w:rFonts w:hint="default"/>
        <w:lang w:val="bg-BG" w:eastAsia="bg-BG" w:bidi="bg-BG"/>
      </w:rPr>
    </w:lvl>
  </w:abstractNum>
  <w:abstractNum w:abstractNumId="3" w15:restartNumberingAfterBreak="0">
    <w:nsid w:val="12A56F7F"/>
    <w:multiLevelType w:val="hybridMultilevel"/>
    <w:tmpl w:val="39781A5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1A71115F"/>
    <w:multiLevelType w:val="hybridMultilevel"/>
    <w:tmpl w:val="B8E84554"/>
    <w:lvl w:ilvl="0" w:tplc="F63041E0">
      <w:start w:val="1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0E24"/>
    <w:multiLevelType w:val="hybridMultilevel"/>
    <w:tmpl w:val="41BE9796"/>
    <w:lvl w:ilvl="0" w:tplc="04090001">
      <w:start w:val="1"/>
      <w:numFmt w:val="bullet"/>
      <w:lvlText w:val=""/>
      <w:lvlJc w:val="left"/>
      <w:pPr>
        <w:ind w:left="1004" w:hanging="360"/>
      </w:pPr>
      <w:rPr>
        <w:rFonts w:ascii="Symbol" w:hAnsi="Symbol"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1FDD09DF"/>
    <w:multiLevelType w:val="hybridMultilevel"/>
    <w:tmpl w:val="9FC85728"/>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66BF"/>
    <w:multiLevelType w:val="hybridMultilevel"/>
    <w:tmpl w:val="12EC3FE2"/>
    <w:lvl w:ilvl="0" w:tplc="21B2079C">
      <w:numFmt w:val="bullet"/>
      <w:lvlText w:val="-"/>
      <w:lvlJc w:val="left"/>
      <w:pPr>
        <w:ind w:left="187" w:hanging="140"/>
      </w:pPr>
      <w:rPr>
        <w:rFonts w:ascii="Times New Roman" w:eastAsia="Times New Roman" w:hAnsi="Times New Roman" w:cs="Times New Roman" w:hint="default"/>
        <w:b/>
        <w:bCs/>
        <w:w w:val="99"/>
        <w:sz w:val="24"/>
        <w:szCs w:val="24"/>
        <w:lang w:val="bg-BG" w:eastAsia="bg-BG" w:bidi="bg-BG"/>
      </w:rPr>
    </w:lvl>
    <w:lvl w:ilvl="1" w:tplc="40B01694">
      <w:numFmt w:val="bullet"/>
      <w:lvlText w:val="•"/>
      <w:lvlJc w:val="left"/>
      <w:pPr>
        <w:ind w:left="1215" w:hanging="140"/>
      </w:pPr>
      <w:rPr>
        <w:rFonts w:hint="default"/>
        <w:lang w:val="bg-BG" w:eastAsia="bg-BG" w:bidi="bg-BG"/>
      </w:rPr>
    </w:lvl>
    <w:lvl w:ilvl="2" w:tplc="89F2B326">
      <w:numFmt w:val="bullet"/>
      <w:lvlText w:val="•"/>
      <w:lvlJc w:val="left"/>
      <w:pPr>
        <w:ind w:left="2251" w:hanging="140"/>
      </w:pPr>
      <w:rPr>
        <w:rFonts w:hint="default"/>
        <w:lang w:val="bg-BG" w:eastAsia="bg-BG" w:bidi="bg-BG"/>
      </w:rPr>
    </w:lvl>
    <w:lvl w:ilvl="3" w:tplc="63762E18">
      <w:numFmt w:val="bullet"/>
      <w:lvlText w:val="•"/>
      <w:lvlJc w:val="left"/>
      <w:pPr>
        <w:ind w:left="3287" w:hanging="140"/>
      </w:pPr>
      <w:rPr>
        <w:rFonts w:hint="default"/>
        <w:lang w:val="bg-BG" w:eastAsia="bg-BG" w:bidi="bg-BG"/>
      </w:rPr>
    </w:lvl>
    <w:lvl w:ilvl="4" w:tplc="993E74CC">
      <w:numFmt w:val="bullet"/>
      <w:lvlText w:val="•"/>
      <w:lvlJc w:val="left"/>
      <w:pPr>
        <w:ind w:left="4323" w:hanging="140"/>
      </w:pPr>
      <w:rPr>
        <w:rFonts w:hint="default"/>
        <w:lang w:val="bg-BG" w:eastAsia="bg-BG" w:bidi="bg-BG"/>
      </w:rPr>
    </w:lvl>
    <w:lvl w:ilvl="5" w:tplc="40383284">
      <w:numFmt w:val="bullet"/>
      <w:lvlText w:val="•"/>
      <w:lvlJc w:val="left"/>
      <w:pPr>
        <w:ind w:left="5359" w:hanging="140"/>
      </w:pPr>
      <w:rPr>
        <w:rFonts w:hint="default"/>
        <w:lang w:val="bg-BG" w:eastAsia="bg-BG" w:bidi="bg-BG"/>
      </w:rPr>
    </w:lvl>
    <w:lvl w:ilvl="6" w:tplc="7EAAB0E0">
      <w:numFmt w:val="bullet"/>
      <w:lvlText w:val="•"/>
      <w:lvlJc w:val="left"/>
      <w:pPr>
        <w:ind w:left="6395" w:hanging="140"/>
      </w:pPr>
      <w:rPr>
        <w:rFonts w:hint="default"/>
        <w:lang w:val="bg-BG" w:eastAsia="bg-BG" w:bidi="bg-BG"/>
      </w:rPr>
    </w:lvl>
    <w:lvl w:ilvl="7" w:tplc="F3046B50">
      <w:numFmt w:val="bullet"/>
      <w:lvlText w:val="•"/>
      <w:lvlJc w:val="left"/>
      <w:pPr>
        <w:ind w:left="7430" w:hanging="140"/>
      </w:pPr>
      <w:rPr>
        <w:rFonts w:hint="default"/>
        <w:lang w:val="bg-BG" w:eastAsia="bg-BG" w:bidi="bg-BG"/>
      </w:rPr>
    </w:lvl>
    <w:lvl w:ilvl="8" w:tplc="3A1E1E8C">
      <w:numFmt w:val="bullet"/>
      <w:lvlText w:val="•"/>
      <w:lvlJc w:val="left"/>
      <w:pPr>
        <w:ind w:left="8466" w:hanging="140"/>
      </w:pPr>
      <w:rPr>
        <w:rFonts w:hint="default"/>
        <w:lang w:val="bg-BG" w:eastAsia="bg-BG" w:bidi="bg-BG"/>
      </w:rPr>
    </w:lvl>
  </w:abstractNum>
  <w:abstractNum w:abstractNumId="8" w15:restartNumberingAfterBreak="0">
    <w:nsid w:val="29FA045B"/>
    <w:multiLevelType w:val="hybridMultilevel"/>
    <w:tmpl w:val="8180938E"/>
    <w:lvl w:ilvl="0" w:tplc="166A2244">
      <w:start w:val="13"/>
      <w:numFmt w:val="bullet"/>
      <w:lvlText w:val="-"/>
      <w:lvlJc w:val="left"/>
      <w:pPr>
        <w:ind w:left="1080" w:hanging="360"/>
      </w:pPr>
      <w:rPr>
        <w:rFonts w:ascii="Times New Roman" w:eastAsia="Times New Roman" w:hAnsi="Times New Roman" w:cs="Times New Roman" w:hint="default"/>
      </w:rPr>
    </w:lvl>
    <w:lvl w:ilvl="1" w:tplc="166A2244">
      <w:start w:val="13"/>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A67C60"/>
    <w:multiLevelType w:val="hybridMultilevel"/>
    <w:tmpl w:val="8B1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4F0B"/>
    <w:multiLevelType w:val="hybridMultilevel"/>
    <w:tmpl w:val="4C780BDC"/>
    <w:lvl w:ilvl="0" w:tplc="66AE964C">
      <w:start w:val="1"/>
      <w:numFmt w:val="decimal"/>
      <w:lvlText w:val="%1."/>
      <w:lvlJc w:val="left"/>
      <w:pPr>
        <w:ind w:left="260" w:hanging="269"/>
        <w:jc w:val="left"/>
      </w:pPr>
      <w:rPr>
        <w:rFonts w:ascii="Times New Roman" w:eastAsia="Times New Roman" w:hAnsi="Times New Roman" w:cs="Times New Roman" w:hint="default"/>
        <w:w w:val="100"/>
        <w:sz w:val="24"/>
        <w:szCs w:val="24"/>
        <w:lang w:val="bg-BG" w:eastAsia="bg-BG" w:bidi="bg-BG"/>
      </w:rPr>
    </w:lvl>
    <w:lvl w:ilvl="1" w:tplc="75BABED6">
      <w:numFmt w:val="bullet"/>
      <w:lvlText w:val="•"/>
      <w:lvlJc w:val="left"/>
      <w:pPr>
        <w:ind w:left="1326" w:hanging="269"/>
      </w:pPr>
      <w:rPr>
        <w:rFonts w:hint="default"/>
        <w:lang w:val="bg-BG" w:eastAsia="bg-BG" w:bidi="bg-BG"/>
      </w:rPr>
    </w:lvl>
    <w:lvl w:ilvl="2" w:tplc="D0C477D4">
      <w:numFmt w:val="bullet"/>
      <w:lvlText w:val="•"/>
      <w:lvlJc w:val="left"/>
      <w:pPr>
        <w:ind w:left="2392" w:hanging="269"/>
      </w:pPr>
      <w:rPr>
        <w:rFonts w:hint="default"/>
        <w:lang w:val="bg-BG" w:eastAsia="bg-BG" w:bidi="bg-BG"/>
      </w:rPr>
    </w:lvl>
    <w:lvl w:ilvl="3" w:tplc="7B4ED802">
      <w:numFmt w:val="bullet"/>
      <w:lvlText w:val="•"/>
      <w:lvlJc w:val="left"/>
      <w:pPr>
        <w:ind w:left="3458" w:hanging="269"/>
      </w:pPr>
      <w:rPr>
        <w:rFonts w:hint="default"/>
        <w:lang w:val="bg-BG" w:eastAsia="bg-BG" w:bidi="bg-BG"/>
      </w:rPr>
    </w:lvl>
    <w:lvl w:ilvl="4" w:tplc="86E235BE">
      <w:numFmt w:val="bullet"/>
      <w:lvlText w:val="•"/>
      <w:lvlJc w:val="left"/>
      <w:pPr>
        <w:ind w:left="4524" w:hanging="269"/>
      </w:pPr>
      <w:rPr>
        <w:rFonts w:hint="default"/>
        <w:lang w:val="bg-BG" w:eastAsia="bg-BG" w:bidi="bg-BG"/>
      </w:rPr>
    </w:lvl>
    <w:lvl w:ilvl="5" w:tplc="3A961E1E">
      <w:numFmt w:val="bullet"/>
      <w:lvlText w:val="•"/>
      <w:lvlJc w:val="left"/>
      <w:pPr>
        <w:ind w:left="5590" w:hanging="269"/>
      </w:pPr>
      <w:rPr>
        <w:rFonts w:hint="default"/>
        <w:lang w:val="bg-BG" w:eastAsia="bg-BG" w:bidi="bg-BG"/>
      </w:rPr>
    </w:lvl>
    <w:lvl w:ilvl="6" w:tplc="D20CA008">
      <w:numFmt w:val="bullet"/>
      <w:lvlText w:val="•"/>
      <w:lvlJc w:val="left"/>
      <w:pPr>
        <w:ind w:left="6656" w:hanging="269"/>
      </w:pPr>
      <w:rPr>
        <w:rFonts w:hint="default"/>
        <w:lang w:val="bg-BG" w:eastAsia="bg-BG" w:bidi="bg-BG"/>
      </w:rPr>
    </w:lvl>
    <w:lvl w:ilvl="7" w:tplc="C226A388">
      <w:numFmt w:val="bullet"/>
      <w:lvlText w:val="•"/>
      <w:lvlJc w:val="left"/>
      <w:pPr>
        <w:ind w:left="7722" w:hanging="269"/>
      </w:pPr>
      <w:rPr>
        <w:rFonts w:hint="default"/>
        <w:lang w:val="bg-BG" w:eastAsia="bg-BG" w:bidi="bg-BG"/>
      </w:rPr>
    </w:lvl>
    <w:lvl w:ilvl="8" w:tplc="34AC3CF2">
      <w:numFmt w:val="bullet"/>
      <w:lvlText w:val="•"/>
      <w:lvlJc w:val="left"/>
      <w:pPr>
        <w:ind w:left="8788" w:hanging="269"/>
      </w:pPr>
      <w:rPr>
        <w:rFonts w:hint="default"/>
        <w:lang w:val="bg-BG" w:eastAsia="bg-BG" w:bidi="bg-BG"/>
      </w:rPr>
    </w:lvl>
  </w:abstractNum>
  <w:abstractNum w:abstractNumId="11" w15:restartNumberingAfterBreak="0">
    <w:nsid w:val="38D91AED"/>
    <w:multiLevelType w:val="hybridMultilevel"/>
    <w:tmpl w:val="51F8EAD6"/>
    <w:lvl w:ilvl="0" w:tplc="AD622DBE">
      <w:start w:val="1"/>
      <w:numFmt w:val="decimal"/>
      <w:lvlText w:val="%1."/>
      <w:lvlJc w:val="left"/>
      <w:pPr>
        <w:ind w:left="260" w:hanging="341"/>
        <w:jc w:val="left"/>
      </w:pPr>
      <w:rPr>
        <w:rFonts w:ascii="Times New Roman" w:eastAsia="Times New Roman" w:hAnsi="Times New Roman" w:cs="Times New Roman" w:hint="default"/>
        <w:spacing w:val="-21"/>
        <w:w w:val="100"/>
        <w:sz w:val="24"/>
        <w:szCs w:val="24"/>
        <w:lang w:val="bg-BG" w:eastAsia="bg-BG" w:bidi="bg-BG"/>
      </w:rPr>
    </w:lvl>
    <w:lvl w:ilvl="1" w:tplc="21C4B5F2">
      <w:numFmt w:val="bullet"/>
      <w:lvlText w:val="•"/>
      <w:lvlJc w:val="left"/>
      <w:pPr>
        <w:ind w:left="1326" w:hanging="341"/>
      </w:pPr>
      <w:rPr>
        <w:rFonts w:hint="default"/>
        <w:lang w:val="bg-BG" w:eastAsia="bg-BG" w:bidi="bg-BG"/>
      </w:rPr>
    </w:lvl>
    <w:lvl w:ilvl="2" w:tplc="7234C1BA">
      <w:numFmt w:val="bullet"/>
      <w:lvlText w:val="•"/>
      <w:lvlJc w:val="left"/>
      <w:pPr>
        <w:ind w:left="2392" w:hanging="341"/>
      </w:pPr>
      <w:rPr>
        <w:rFonts w:hint="default"/>
        <w:lang w:val="bg-BG" w:eastAsia="bg-BG" w:bidi="bg-BG"/>
      </w:rPr>
    </w:lvl>
    <w:lvl w:ilvl="3" w:tplc="ADDA213C">
      <w:numFmt w:val="bullet"/>
      <w:lvlText w:val="•"/>
      <w:lvlJc w:val="left"/>
      <w:pPr>
        <w:ind w:left="3458" w:hanging="341"/>
      </w:pPr>
      <w:rPr>
        <w:rFonts w:hint="default"/>
        <w:lang w:val="bg-BG" w:eastAsia="bg-BG" w:bidi="bg-BG"/>
      </w:rPr>
    </w:lvl>
    <w:lvl w:ilvl="4" w:tplc="63122DE2">
      <w:numFmt w:val="bullet"/>
      <w:lvlText w:val="•"/>
      <w:lvlJc w:val="left"/>
      <w:pPr>
        <w:ind w:left="4524" w:hanging="341"/>
      </w:pPr>
      <w:rPr>
        <w:rFonts w:hint="default"/>
        <w:lang w:val="bg-BG" w:eastAsia="bg-BG" w:bidi="bg-BG"/>
      </w:rPr>
    </w:lvl>
    <w:lvl w:ilvl="5" w:tplc="8ACC3EE8">
      <w:numFmt w:val="bullet"/>
      <w:lvlText w:val="•"/>
      <w:lvlJc w:val="left"/>
      <w:pPr>
        <w:ind w:left="5590" w:hanging="341"/>
      </w:pPr>
      <w:rPr>
        <w:rFonts w:hint="default"/>
        <w:lang w:val="bg-BG" w:eastAsia="bg-BG" w:bidi="bg-BG"/>
      </w:rPr>
    </w:lvl>
    <w:lvl w:ilvl="6" w:tplc="9480939E">
      <w:numFmt w:val="bullet"/>
      <w:lvlText w:val="•"/>
      <w:lvlJc w:val="left"/>
      <w:pPr>
        <w:ind w:left="6656" w:hanging="341"/>
      </w:pPr>
      <w:rPr>
        <w:rFonts w:hint="default"/>
        <w:lang w:val="bg-BG" w:eastAsia="bg-BG" w:bidi="bg-BG"/>
      </w:rPr>
    </w:lvl>
    <w:lvl w:ilvl="7" w:tplc="A224E4FC">
      <w:numFmt w:val="bullet"/>
      <w:lvlText w:val="•"/>
      <w:lvlJc w:val="left"/>
      <w:pPr>
        <w:ind w:left="7722" w:hanging="341"/>
      </w:pPr>
      <w:rPr>
        <w:rFonts w:hint="default"/>
        <w:lang w:val="bg-BG" w:eastAsia="bg-BG" w:bidi="bg-BG"/>
      </w:rPr>
    </w:lvl>
    <w:lvl w:ilvl="8" w:tplc="1AEC24F2">
      <w:numFmt w:val="bullet"/>
      <w:lvlText w:val="•"/>
      <w:lvlJc w:val="left"/>
      <w:pPr>
        <w:ind w:left="8788" w:hanging="341"/>
      </w:pPr>
      <w:rPr>
        <w:rFonts w:hint="default"/>
        <w:lang w:val="bg-BG" w:eastAsia="bg-BG" w:bidi="bg-BG"/>
      </w:rPr>
    </w:lvl>
  </w:abstractNum>
  <w:abstractNum w:abstractNumId="12" w15:restartNumberingAfterBreak="0">
    <w:nsid w:val="39693063"/>
    <w:multiLevelType w:val="hybridMultilevel"/>
    <w:tmpl w:val="284EA554"/>
    <w:lvl w:ilvl="0" w:tplc="166A2244">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D0395"/>
    <w:multiLevelType w:val="hybridMultilevel"/>
    <w:tmpl w:val="092AF09C"/>
    <w:lvl w:ilvl="0" w:tplc="5BE28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50BEC"/>
    <w:multiLevelType w:val="hybridMultilevel"/>
    <w:tmpl w:val="1EC4B6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B2D3E"/>
    <w:multiLevelType w:val="hybridMultilevel"/>
    <w:tmpl w:val="DB4C786C"/>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E070F"/>
    <w:multiLevelType w:val="hybridMultilevel"/>
    <w:tmpl w:val="F6A843DE"/>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7" w15:restartNumberingAfterBreak="0">
    <w:nsid w:val="4D5D1CD6"/>
    <w:multiLevelType w:val="multilevel"/>
    <w:tmpl w:val="D39CBD8E"/>
    <w:lvl w:ilvl="0">
      <w:start w:val="1"/>
      <w:numFmt w:val="decimal"/>
      <w:lvlText w:val="%1."/>
      <w:lvlJc w:val="left"/>
      <w:pPr>
        <w:ind w:left="786" w:hanging="360"/>
      </w:pPr>
      <w:rPr>
        <w:rFonts w:hint="default"/>
        <w:b/>
        <w:sz w:val="24"/>
        <w:szCs w:val="24"/>
      </w:rPr>
    </w:lvl>
    <w:lvl w:ilvl="1">
      <w:start w:val="1"/>
      <w:numFmt w:val="decimal"/>
      <w:isLgl/>
      <w:lvlText w:val="%1.%2."/>
      <w:lvlJc w:val="left"/>
      <w:pPr>
        <w:ind w:left="882" w:hanging="456"/>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15:restartNumberingAfterBreak="0">
    <w:nsid w:val="4E682338"/>
    <w:multiLevelType w:val="hybridMultilevel"/>
    <w:tmpl w:val="CCF0B41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9" w15:restartNumberingAfterBreak="0">
    <w:nsid w:val="56873F29"/>
    <w:multiLevelType w:val="hybridMultilevel"/>
    <w:tmpl w:val="3CB69300"/>
    <w:lvl w:ilvl="0" w:tplc="E0606240">
      <w:start w:val="1"/>
      <w:numFmt w:val="upperRoman"/>
      <w:lvlText w:val="%1."/>
      <w:lvlJc w:val="right"/>
      <w:pPr>
        <w:ind w:left="720" w:hanging="360"/>
      </w:pPr>
      <w:rPr>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D59DD"/>
    <w:multiLevelType w:val="hybridMultilevel"/>
    <w:tmpl w:val="75385CCC"/>
    <w:lvl w:ilvl="0" w:tplc="166A224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E7673D"/>
    <w:multiLevelType w:val="hybridMultilevel"/>
    <w:tmpl w:val="AE8A8204"/>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30291"/>
    <w:multiLevelType w:val="hybridMultilevel"/>
    <w:tmpl w:val="225694C6"/>
    <w:lvl w:ilvl="0" w:tplc="04090001">
      <w:start w:val="1"/>
      <w:numFmt w:val="bullet"/>
      <w:lvlText w:val=""/>
      <w:lvlJc w:val="left"/>
      <w:pPr>
        <w:ind w:left="720" w:hanging="360"/>
      </w:pPr>
      <w:rPr>
        <w:rFonts w:ascii="Symbol" w:hAnsi="Symbol" w:hint="default"/>
      </w:rPr>
    </w:lvl>
    <w:lvl w:ilvl="1" w:tplc="171E25DC">
      <w:start w:val="1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4" w15:restartNumberingAfterBreak="0">
    <w:nsid w:val="6BCA753E"/>
    <w:multiLevelType w:val="hybridMultilevel"/>
    <w:tmpl w:val="1AFA50E8"/>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9C7FDB"/>
    <w:multiLevelType w:val="hybridMultilevel"/>
    <w:tmpl w:val="9CC2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85CA0"/>
    <w:multiLevelType w:val="hybridMultilevel"/>
    <w:tmpl w:val="7292CEA8"/>
    <w:lvl w:ilvl="0" w:tplc="AB94D74E">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79F46054"/>
    <w:multiLevelType w:val="hybridMultilevel"/>
    <w:tmpl w:val="F252F180"/>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8" w15:restartNumberingAfterBreak="0">
    <w:nsid w:val="7EF304A1"/>
    <w:multiLevelType w:val="hybridMultilevel"/>
    <w:tmpl w:val="A9E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1"/>
  </w:num>
  <w:num w:numId="5">
    <w:abstractNumId w:val="23"/>
  </w:num>
  <w:num w:numId="6">
    <w:abstractNumId w:val="14"/>
  </w:num>
  <w:num w:numId="7">
    <w:abstractNumId w:val="28"/>
  </w:num>
  <w:num w:numId="8">
    <w:abstractNumId w:val="0"/>
  </w:num>
  <w:num w:numId="9">
    <w:abstractNumId w:val="16"/>
  </w:num>
  <w:num w:numId="10">
    <w:abstractNumId w:val="26"/>
  </w:num>
  <w:num w:numId="11">
    <w:abstractNumId w:val="17"/>
  </w:num>
  <w:num w:numId="12">
    <w:abstractNumId w:val="19"/>
  </w:num>
  <w:num w:numId="13">
    <w:abstractNumId w:val="5"/>
  </w:num>
  <w:num w:numId="14">
    <w:abstractNumId w:val="18"/>
  </w:num>
  <w:num w:numId="15">
    <w:abstractNumId w:val="13"/>
  </w:num>
  <w:num w:numId="16">
    <w:abstractNumId w:val="9"/>
  </w:num>
  <w:num w:numId="17">
    <w:abstractNumId w:val="25"/>
  </w:num>
  <w:num w:numId="18">
    <w:abstractNumId w:val="3"/>
  </w:num>
  <w:num w:numId="19">
    <w:abstractNumId w:val="27"/>
  </w:num>
  <w:num w:numId="20">
    <w:abstractNumId w:val="21"/>
  </w:num>
  <w:num w:numId="21">
    <w:abstractNumId w:val="20"/>
  </w:num>
  <w:num w:numId="22">
    <w:abstractNumId w:val="4"/>
  </w:num>
  <w:num w:numId="23">
    <w:abstractNumId w:val="22"/>
  </w:num>
  <w:num w:numId="24">
    <w:abstractNumId w:val="12"/>
  </w:num>
  <w:num w:numId="25">
    <w:abstractNumId w:val="8"/>
  </w:num>
  <w:num w:numId="26">
    <w:abstractNumId w:val="24"/>
  </w:num>
  <w:num w:numId="27">
    <w:abstractNumId w:val="1"/>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4E"/>
    <w:rsid w:val="000E6F41"/>
    <w:rsid w:val="001E44CD"/>
    <w:rsid w:val="00206907"/>
    <w:rsid w:val="00210406"/>
    <w:rsid w:val="0022712A"/>
    <w:rsid w:val="0026304E"/>
    <w:rsid w:val="00286D5F"/>
    <w:rsid w:val="002F220F"/>
    <w:rsid w:val="002F3A49"/>
    <w:rsid w:val="00322CC6"/>
    <w:rsid w:val="003B7B44"/>
    <w:rsid w:val="004049E4"/>
    <w:rsid w:val="004312CB"/>
    <w:rsid w:val="00520594"/>
    <w:rsid w:val="005D1CF5"/>
    <w:rsid w:val="005E6C10"/>
    <w:rsid w:val="00677238"/>
    <w:rsid w:val="006A4DEF"/>
    <w:rsid w:val="006B5D06"/>
    <w:rsid w:val="006F3B13"/>
    <w:rsid w:val="007470F8"/>
    <w:rsid w:val="007B12CE"/>
    <w:rsid w:val="007B3EA5"/>
    <w:rsid w:val="007F10DD"/>
    <w:rsid w:val="008A5994"/>
    <w:rsid w:val="00947F3C"/>
    <w:rsid w:val="00A414A1"/>
    <w:rsid w:val="00AE37C1"/>
    <w:rsid w:val="00B52951"/>
    <w:rsid w:val="00B677A3"/>
    <w:rsid w:val="00BA633A"/>
    <w:rsid w:val="00BC167F"/>
    <w:rsid w:val="00BD7465"/>
    <w:rsid w:val="00BE62C9"/>
    <w:rsid w:val="00BE77D8"/>
    <w:rsid w:val="00C116BB"/>
    <w:rsid w:val="00C62581"/>
    <w:rsid w:val="00C63D8D"/>
    <w:rsid w:val="00C7449F"/>
    <w:rsid w:val="00D2593F"/>
    <w:rsid w:val="00D329A1"/>
    <w:rsid w:val="00D9556B"/>
    <w:rsid w:val="00DA1F72"/>
    <w:rsid w:val="00E02096"/>
    <w:rsid w:val="00EB0A10"/>
    <w:rsid w:val="00F5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2BFB"/>
  <w15:docId w15:val="{3364E5D4-9EF6-437E-BB36-66DAB1FB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eastAsia="bg-BG" w:bidi="bg-BG"/>
    </w:rPr>
  </w:style>
  <w:style w:type="paragraph" w:styleId="Heading1">
    <w:name w:val="heading 1"/>
    <w:basedOn w:val="Normal"/>
    <w:uiPriority w:val="1"/>
    <w:qFormat/>
    <w:pPr>
      <w:ind w:left="2347" w:right="2309"/>
      <w:jc w:val="center"/>
      <w:outlineLvl w:val="0"/>
    </w:pPr>
    <w:rPr>
      <w:b/>
      <w:bCs/>
      <w:sz w:val="28"/>
      <w:szCs w:val="28"/>
    </w:rPr>
  </w:style>
  <w:style w:type="paragraph" w:styleId="Heading2">
    <w:name w:val="heading 2"/>
    <w:basedOn w:val="Normal"/>
    <w:uiPriority w:val="1"/>
    <w:qFormat/>
    <w:pPr>
      <w:ind w:left="260"/>
      <w:outlineLvl w:val="1"/>
    </w:pPr>
    <w:rPr>
      <w:b/>
      <w:bCs/>
      <w:sz w:val="24"/>
      <w:szCs w:val="24"/>
    </w:rPr>
  </w:style>
  <w:style w:type="paragraph" w:styleId="Heading3">
    <w:name w:val="heading 3"/>
    <w:basedOn w:val="Normal"/>
    <w:uiPriority w:val="1"/>
    <w:qFormat/>
    <w:pPr>
      <w:spacing w:before="90"/>
      <w:ind w:left="26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0"/>
    </w:pPr>
  </w:style>
  <w:style w:type="paragraph" w:customStyle="1" w:styleId="TableParagraph">
    <w:name w:val="Table Paragraph"/>
    <w:basedOn w:val="Normal"/>
    <w:uiPriority w:val="1"/>
    <w:qFormat/>
  </w:style>
  <w:style w:type="character" w:styleId="Hyperlink">
    <w:name w:val="Hyperlink"/>
    <w:uiPriority w:val="99"/>
    <w:rsid w:val="00DA1F72"/>
    <w:rPr>
      <w:color w:val="0000FF"/>
      <w:u w:val="single"/>
    </w:rPr>
  </w:style>
  <w:style w:type="paragraph" w:styleId="Header">
    <w:name w:val="header"/>
    <w:basedOn w:val="Normal"/>
    <w:link w:val="HeaderChar"/>
    <w:uiPriority w:val="99"/>
    <w:unhideWhenUsed/>
    <w:rsid w:val="00BA633A"/>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BA633A"/>
    <w:rPr>
      <w:lang w:val="bg-BG"/>
    </w:rPr>
  </w:style>
  <w:style w:type="table" w:styleId="TableGrid">
    <w:name w:val="Table Grid"/>
    <w:basedOn w:val="TableNormal"/>
    <w:rsid w:val="00BA633A"/>
    <w:pPr>
      <w:widowControl/>
      <w:autoSpaceDE/>
      <w:autoSpaceDN/>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Car C"/>
    <w:basedOn w:val="Normal"/>
    <w:link w:val="FootnoteTextChar"/>
    <w:uiPriority w:val="99"/>
    <w:unhideWhenUsed/>
    <w:rsid w:val="00206907"/>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06907"/>
    <w:rPr>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nhideWhenUsed/>
    <w:rsid w:val="00206907"/>
    <w:rPr>
      <w:vertAlign w:val="superscript"/>
    </w:rPr>
  </w:style>
  <w:style w:type="paragraph" w:customStyle="1" w:styleId="Default">
    <w:name w:val="Default"/>
    <w:rsid w:val="00206907"/>
    <w:pPr>
      <w:widowControl/>
      <w:suppressAutoHyphens/>
      <w:autoSpaceDE/>
      <w:autoSpaceDN/>
    </w:pPr>
    <w:rPr>
      <w:rFonts w:ascii="Times New Roman" w:eastAsia="Calibri" w:hAnsi="Times New Roman" w:cs="Times New Roman"/>
      <w:color w:val="000000"/>
      <w:sz w:val="24"/>
      <w:szCs w:val="24"/>
      <w:lang w:eastAsia="zh-CN"/>
    </w:rPr>
  </w:style>
  <w:style w:type="character" w:customStyle="1" w:styleId="a">
    <w:name w:val="Знаци за бележки под линия"/>
    <w:rsid w:val="00B52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g-strum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mis2020.government.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ic.bg/informatsiya-i-publichnost/grafichni-iziskvaniy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teaid.minfin.b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4350</Words>
  <Characters>24795</Characters>
  <Application>Microsoft Office Word</Application>
  <DocSecurity>0</DocSecurity>
  <Lines>206</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Radi</cp:lastModifiedBy>
  <cp:revision>34</cp:revision>
  <dcterms:created xsi:type="dcterms:W3CDTF">2019-12-27T09:44:00Z</dcterms:created>
  <dcterms:modified xsi:type="dcterms:W3CDTF">2021-03-31T13:25:00Z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2010</vt:lpwstr>
  </property>
  <property fmtid="{D5CDD505-2E9C-101B-9397-08002B2CF9AE}" pid="4" name="LastSaved">
    <vt:filetime>2019-12-27T00:00:00Z</vt:filetime>
  </property>
</Properties>
</file>