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52" w:type="pct"/>
        <w:tblInd w:w="-885" w:type="dxa"/>
        <w:tblLook w:val="01E0" w:firstRow="1" w:lastRow="1" w:firstColumn="1" w:lastColumn="1" w:noHBand="0" w:noVBand="0"/>
      </w:tblPr>
      <w:tblGrid>
        <w:gridCol w:w="3828"/>
        <w:gridCol w:w="7228"/>
      </w:tblGrid>
      <w:tr w:rsidR="006701A2" w:rsidRPr="004A405A" w:rsidTr="009B3888">
        <w:tc>
          <w:tcPr>
            <w:tcW w:w="3828" w:type="dxa"/>
          </w:tcPr>
          <w:p w:rsidR="006701A2" w:rsidRPr="00B029F8" w:rsidRDefault="006701A2" w:rsidP="00AE539E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 xml:space="preserve">Основание </w:t>
            </w:r>
          </w:p>
        </w:tc>
        <w:tc>
          <w:tcPr>
            <w:tcW w:w="7228" w:type="dxa"/>
          </w:tcPr>
          <w:p w:rsidR="006701A2" w:rsidRPr="00E92532" w:rsidRDefault="006701A2" w:rsidP="00340068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Методология за определяне на </w:t>
            </w:r>
            <w:r w:rsidRPr="00B41702">
              <w:rPr>
                <w:rFonts w:ascii="Georgia" w:hAnsi="Georgia"/>
                <w:b/>
                <w:sz w:val="22"/>
                <w:szCs w:val="22"/>
                <w:lang w:val="bg-BG" w:eastAsia="bg-BG"/>
              </w:rPr>
              <w:t xml:space="preserve">стандартна таблица на разходите за единица продукт 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съгласно </w:t>
            </w:r>
            <w:r w:rsidR="00E9253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чл. 67, </w:t>
            </w:r>
            <w:r w:rsidR="00376ACF">
              <w:rPr>
                <w:rFonts w:ascii="Georgia" w:hAnsi="Georgia"/>
                <w:sz w:val="22"/>
                <w:szCs w:val="22"/>
                <w:lang w:val="bg-BG" w:eastAsia="bg-BG"/>
              </w:rPr>
              <w:t>(</w:t>
            </w:r>
            <w:r w:rsidR="00E92532">
              <w:rPr>
                <w:rFonts w:ascii="Georgia" w:hAnsi="Georgia"/>
                <w:sz w:val="22"/>
                <w:szCs w:val="22"/>
                <w:lang w:val="bg-BG" w:eastAsia="bg-BG"/>
              </w:rPr>
              <w:t>1</w:t>
            </w:r>
            <w:r w:rsidR="00376ACF">
              <w:rPr>
                <w:rFonts w:ascii="Georgia" w:hAnsi="Georgia"/>
                <w:sz w:val="22"/>
                <w:szCs w:val="22"/>
                <w:lang w:val="bg-BG" w:eastAsia="bg-BG"/>
              </w:rPr>
              <w:t>)</w:t>
            </w:r>
            <w:r w:rsidR="00E92532">
              <w:rPr>
                <w:rFonts w:ascii="Georgia" w:hAnsi="Georgia"/>
                <w:sz w:val="22"/>
                <w:szCs w:val="22"/>
                <w:lang w:val="bg-BG" w:eastAsia="bg-BG"/>
              </w:rPr>
              <w:t>, т. б от Регламент 1</w:t>
            </w:r>
            <w:r w:rsidR="00104E6D">
              <w:rPr>
                <w:rFonts w:ascii="Georgia" w:hAnsi="Georgia"/>
                <w:sz w:val="22"/>
                <w:szCs w:val="22"/>
                <w:lang w:val="bg-BG" w:eastAsia="bg-BG"/>
              </w:rPr>
              <w:t>303</w:t>
            </w:r>
            <w:r w:rsidR="00E92532">
              <w:rPr>
                <w:rFonts w:ascii="Georgia" w:hAnsi="Georgia"/>
                <w:sz w:val="22"/>
                <w:szCs w:val="22"/>
                <w:lang w:val="bg-BG" w:eastAsia="bg-BG"/>
              </w:rPr>
              <w:t>/2013 г.</w:t>
            </w:r>
          </w:p>
        </w:tc>
      </w:tr>
      <w:tr w:rsidR="00553B0D" w:rsidRPr="004A405A" w:rsidTr="009B3888">
        <w:tc>
          <w:tcPr>
            <w:tcW w:w="3828" w:type="dxa"/>
          </w:tcPr>
          <w:p w:rsidR="00553B0D" w:rsidRPr="00211C4E" w:rsidRDefault="00553B0D" w:rsidP="00AE539E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en-US" w:eastAsia="bg-BG"/>
              </w:rPr>
            </w:pPr>
            <w:r w:rsidRPr="00B029F8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Тип на операцията</w:t>
            </w:r>
          </w:p>
        </w:tc>
        <w:tc>
          <w:tcPr>
            <w:tcW w:w="7228" w:type="dxa"/>
          </w:tcPr>
          <w:p w:rsidR="00553B0D" w:rsidRPr="004A405A" w:rsidRDefault="00553B0D" w:rsidP="009B3888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Предоставяне на обучени</w:t>
            </w:r>
            <w:r w:rsidR="009B3888">
              <w:rPr>
                <w:rFonts w:ascii="Georgia" w:hAnsi="Georgia"/>
                <w:sz w:val="22"/>
                <w:szCs w:val="22"/>
                <w:lang w:val="bg-BG" w:eastAsia="bg-BG"/>
              </w:rPr>
              <w:t>я за заети и безработни лица</w:t>
            </w:r>
          </w:p>
        </w:tc>
      </w:tr>
      <w:tr w:rsidR="00553B0D" w:rsidRPr="003F4CA7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B029F8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Приоритетна ос</w:t>
            </w:r>
          </w:p>
        </w:tc>
        <w:tc>
          <w:tcPr>
            <w:tcW w:w="72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Приоритетна ос № 1 „Подобряване достъпа до заетост и качеството на работните места”</w:t>
            </w:r>
          </w:p>
          <w:p w:rsidR="00E93556" w:rsidRPr="003F4CA7" w:rsidRDefault="00E93556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E93556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Приоритетна ос № 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2 „</w:t>
            </w:r>
            <w:r w:rsidRPr="00EA09AC">
              <w:rPr>
                <w:rFonts w:ascii="Georgia" w:hAnsi="Georgia"/>
                <w:sz w:val="22"/>
                <w:szCs w:val="22"/>
                <w:lang w:val="bg-BG" w:eastAsia="bg-BG"/>
              </w:rPr>
              <w:t>Намаляване на бедността и насърчаване на социалното включване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“</w:t>
            </w:r>
            <w:bookmarkStart w:id="0" w:name="_GoBack"/>
            <w:bookmarkEnd w:id="0"/>
          </w:p>
        </w:tc>
      </w:tr>
      <w:tr w:rsidR="00553B0D" w:rsidRPr="00B029F8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B029F8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 xml:space="preserve">Описание на дейностите </w:t>
            </w:r>
            <w:r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(в съответствие с текста на ОП РЧР 2014-2020)</w:t>
            </w:r>
          </w:p>
        </w:tc>
        <w:tc>
          <w:tcPr>
            <w:tcW w:w="7228" w:type="dxa"/>
          </w:tcPr>
          <w:p w:rsidR="00FD735D" w:rsidRPr="00FD735D" w:rsidRDefault="00FD735D" w:rsidP="00FD735D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 w:rsidRPr="00FD735D">
              <w:rPr>
                <w:rFonts w:ascii="Georgia" w:hAnsi="Georgia"/>
                <w:sz w:val="22"/>
                <w:szCs w:val="22"/>
                <w:lang w:val="ru-RU" w:eastAsia="bg-BG"/>
              </w:rPr>
              <w:t>Предоставяне на обучение за повишаване на професионалната квалификация и/или за придобиване на нова;</w:t>
            </w:r>
          </w:p>
          <w:p w:rsidR="00553B0D" w:rsidRPr="00FD735D" w:rsidRDefault="00FD735D" w:rsidP="00FD735D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 w:rsidRPr="00FD735D">
              <w:rPr>
                <w:rFonts w:ascii="Georgia" w:hAnsi="Georgia"/>
                <w:sz w:val="22"/>
                <w:szCs w:val="22"/>
                <w:lang w:val="ru-RU" w:eastAsia="bg-BG"/>
              </w:rPr>
              <w:t>Предоставяне на обучение за придобиване на ключови компетентности</w:t>
            </w:r>
            <w:r w:rsidR="009C61BC">
              <w:rPr>
                <w:rFonts w:ascii="Georgia" w:hAnsi="Georgia"/>
                <w:sz w:val="22"/>
                <w:szCs w:val="22"/>
                <w:lang w:val="ru-RU" w:eastAsia="bg-BG"/>
              </w:rPr>
              <w:t>.</w:t>
            </w:r>
          </w:p>
        </w:tc>
      </w:tr>
      <w:tr w:rsidR="00553B0D" w:rsidRPr="003F4CA7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Типове бенефициенти</w:t>
            </w:r>
          </w:p>
        </w:tc>
        <w:tc>
          <w:tcPr>
            <w:tcW w:w="72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Работодатели и обучителни организации</w:t>
            </w:r>
          </w:p>
        </w:tc>
      </w:tr>
      <w:tr w:rsidR="00553B0D" w:rsidRPr="003F4CA7" w:rsidTr="009B3888">
        <w:tc>
          <w:tcPr>
            <w:tcW w:w="3828" w:type="dxa"/>
          </w:tcPr>
          <w:p w:rsidR="00553B0D" w:rsidRPr="00B11A73" w:rsidRDefault="00553B0D" w:rsidP="00AE539E">
            <w:pPr>
              <w:spacing w:before="120" w:after="120"/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</w:pPr>
            <w:r w:rsidRPr="00B11A73">
              <w:rPr>
                <w:rFonts w:ascii="Georgia" w:hAnsi="Georgia"/>
                <w:b/>
                <w:bCs/>
                <w:sz w:val="22"/>
                <w:szCs w:val="22"/>
                <w:lang w:val="bg-BG" w:eastAsia="bg-BG"/>
              </w:rPr>
              <w:t>Вариант за опростено отчитане на разхода</w:t>
            </w:r>
          </w:p>
        </w:tc>
        <w:tc>
          <w:tcPr>
            <w:tcW w:w="7228" w:type="dxa"/>
          </w:tcPr>
          <w:p w:rsidR="00553B0D" w:rsidRPr="003F4CA7" w:rsidRDefault="009B3888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Стандартна </w:t>
            </w:r>
            <w:r w:rsidRPr="006701A2">
              <w:rPr>
                <w:rFonts w:ascii="Georgia" w:hAnsi="Georgia"/>
                <w:sz w:val="22"/>
                <w:szCs w:val="22"/>
                <w:lang w:val="bg-BG" w:eastAsia="bg-BG"/>
              </w:rPr>
              <w:t>таблица на разходите за единица продукт</w:t>
            </w:r>
          </w:p>
        </w:tc>
      </w:tr>
      <w:tr w:rsidR="00553B0D" w:rsidRPr="003F4CA7" w:rsidTr="009B3888">
        <w:tc>
          <w:tcPr>
            <w:tcW w:w="38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Дефиниция на разхода</w:t>
            </w:r>
          </w:p>
        </w:tc>
        <w:tc>
          <w:tcPr>
            <w:tcW w:w="7228" w:type="dxa"/>
          </w:tcPr>
          <w:p w:rsidR="00553B0D" w:rsidRPr="003F4CA7" w:rsidRDefault="00553B0D" w:rsidP="00553B0D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Разход за провеждане на обучение</w:t>
            </w:r>
          </w:p>
        </w:tc>
      </w:tr>
      <w:tr w:rsidR="00553B0D" w:rsidRPr="003F4CA7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Е</w:t>
            </w:r>
            <w:r w:rsidRPr="00B029F8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диница мярка</w:t>
            </w:r>
          </w:p>
        </w:tc>
        <w:tc>
          <w:tcPr>
            <w:tcW w:w="7228" w:type="dxa"/>
          </w:tcPr>
          <w:p w:rsidR="00553B0D" w:rsidRPr="003F4CA7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Лева</w:t>
            </w:r>
          </w:p>
        </w:tc>
      </w:tr>
      <w:tr w:rsidR="00553B0D" w:rsidRPr="003F4CA7" w:rsidTr="009B3888">
        <w:tc>
          <w:tcPr>
            <w:tcW w:w="3828" w:type="dxa"/>
          </w:tcPr>
          <w:p w:rsidR="00553B0D" w:rsidRDefault="00553B0D" w:rsidP="00553B0D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Основание за определяне на размера на разхода</w:t>
            </w:r>
          </w:p>
        </w:tc>
        <w:tc>
          <w:tcPr>
            <w:tcW w:w="7228" w:type="dxa"/>
          </w:tcPr>
          <w:p w:rsidR="00821661" w:rsidRDefault="00821661" w:rsidP="00821661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Чл. 67 (5)  </w:t>
            </w:r>
            <w:r w:rsidR="006701A2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от Регламент 1303/2013 г. </w:t>
            </w:r>
            <w:r w:rsidR="00850A49">
              <w:rPr>
                <w:rFonts w:ascii="Georgia" w:hAnsi="Georgia"/>
                <w:sz w:val="22"/>
                <w:szCs w:val="22"/>
                <w:lang w:val="ru-RU" w:eastAsia="bg-BG"/>
              </w:rPr>
              <w:t>:</w:t>
            </w:r>
          </w:p>
          <w:p w:rsidR="00850A49" w:rsidRDefault="00850A49" w:rsidP="00821661">
            <w:pPr>
              <w:spacing w:before="120" w:after="120"/>
              <w:jc w:val="both"/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(а) </w:t>
            </w:r>
            <w:r w:rsidR="00376ACF"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К</w:t>
            </w:r>
            <w:r w:rsidR="00821661" w:rsidRPr="00821661"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оректен, справедлив и проверим метод</w:t>
            </w:r>
            <w:r w:rsidR="00821661"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 на изчисление, основаващ се на</w:t>
            </w:r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:</w:t>
            </w:r>
          </w:p>
          <w:p w:rsidR="00821661" w:rsidRDefault="00821661" w:rsidP="00821661">
            <w:pPr>
              <w:spacing w:before="120" w:after="120"/>
              <w:jc w:val="both"/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 </w:t>
            </w:r>
            <w:r w:rsidR="00850A49">
              <w:rPr>
                <w:rFonts w:ascii="Georgia" w:hAnsi="Georgia"/>
                <w:sz w:val="22"/>
                <w:szCs w:val="22"/>
                <w:lang w:val="ru-RU" w:eastAsia="bg-BG"/>
              </w:rPr>
              <w:t>(</w:t>
            </w:r>
            <w:proofErr w:type="spellStart"/>
            <w:r w:rsidR="00850A49">
              <w:rPr>
                <w:rFonts w:ascii="Georgia" w:hAnsi="Georgia"/>
                <w:sz w:val="22"/>
                <w:szCs w:val="22"/>
                <w:lang w:val="en-US" w:eastAsia="bg-BG"/>
              </w:rPr>
              <w:t>i</w:t>
            </w:r>
            <w:proofErr w:type="spellEnd"/>
            <w:r w:rsidR="00850A49">
              <w:rPr>
                <w:rFonts w:ascii="Georgia" w:hAnsi="Georgia"/>
                <w:sz w:val="22"/>
                <w:szCs w:val="22"/>
                <w:lang w:val="en-US" w:eastAsia="bg-BG"/>
              </w:rPr>
              <w:t>)</w:t>
            </w:r>
            <w:r w:rsidR="00850A49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Pr="00821661"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статистически </w:t>
            </w:r>
            <w:proofErr w:type="spellStart"/>
            <w:r w:rsidRPr="00821661"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данни</w:t>
            </w:r>
            <w:proofErr w:type="spellEnd"/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 или друга </w:t>
            </w:r>
            <w:proofErr w:type="spellStart"/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обективна</w:t>
            </w:r>
            <w:proofErr w:type="spellEnd"/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 информация (</w:t>
            </w:r>
            <w:r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 xml:space="preserve">в настоящия случай </w:t>
            </w:r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нормативно </w:t>
            </w:r>
            <w:proofErr w:type="spellStart"/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определени</w:t>
            </w:r>
            <w:proofErr w:type="spellEnd"/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 xml:space="preserve"> ставки за обучения).</w:t>
            </w:r>
          </w:p>
          <w:p w:rsidR="00376ACF" w:rsidRDefault="00376ACF" w:rsidP="00376AC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Чл. 67 (5) а. (</w:t>
            </w:r>
            <w:r>
              <w:rPr>
                <w:rFonts w:ascii="Georgia" w:hAnsi="Georgia"/>
                <w:sz w:val="22"/>
                <w:szCs w:val="22"/>
                <w:lang w:val="en-US" w:eastAsia="bg-BG"/>
              </w:rPr>
              <w:t>ii)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от Регламент 1303/2013 г. </w:t>
            </w:r>
            <w:r w:rsidR="00850A49">
              <w:rPr>
                <w:rFonts w:ascii="Georgia" w:hAnsi="Georgia"/>
                <w:sz w:val="22"/>
                <w:szCs w:val="22"/>
                <w:lang w:val="ru-RU" w:eastAsia="bg-BG"/>
              </w:rPr>
              <w:t>:</w:t>
            </w:r>
          </w:p>
          <w:p w:rsidR="00376ACF" w:rsidRDefault="00376ACF" w:rsidP="00376ACF">
            <w:pPr>
              <w:spacing w:before="120" w:after="120"/>
              <w:jc w:val="both"/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Проверени данни за минали периоди за отделните Бенефициенти</w:t>
            </w:r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.</w:t>
            </w:r>
          </w:p>
          <w:p w:rsidR="00376ACF" w:rsidRDefault="00376ACF" w:rsidP="00376ACF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Чл. 67 (5) в. от Регламент 1303/2013 г. </w:t>
            </w:r>
            <w:r w:rsidR="00850A49">
              <w:rPr>
                <w:rFonts w:ascii="Georgia" w:hAnsi="Georgia"/>
                <w:sz w:val="22"/>
                <w:szCs w:val="22"/>
                <w:lang w:val="ru-RU" w:eastAsia="bg-BG"/>
              </w:rPr>
              <w:t>:</w:t>
            </w:r>
          </w:p>
          <w:p w:rsidR="00376ACF" w:rsidRDefault="00376ACF" w:rsidP="00376ACF">
            <w:pPr>
              <w:spacing w:before="120" w:after="120"/>
              <w:jc w:val="both"/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b/>
                <w:i/>
                <w:sz w:val="22"/>
                <w:szCs w:val="22"/>
                <w:lang w:val="bg-BG" w:eastAsia="bg-BG"/>
              </w:rPr>
              <w:t>В съответствие с правилата за прилагането на съответни таблици за разходите за единица продукт, еднократни суми и единни ставки, прилагани в рамките на схеми за предоставяне на безвъзмездни средства, финансирани изцяло от държавата- членка за подобен тип операции и Бенефициент</w:t>
            </w:r>
            <w:r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, а именно: Национален план за действие по заетостта</w:t>
            </w:r>
            <w:r w:rsidR="00D140DC"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, който се приема с нормативен акт на Министерски съвет</w:t>
            </w:r>
            <w:r w:rsidR="00317B23">
              <w:rPr>
                <w:rFonts w:ascii="Georgia" w:hAnsi="Georgia"/>
                <w:b/>
                <w:i/>
                <w:sz w:val="22"/>
                <w:szCs w:val="22"/>
                <w:lang w:val="ru-RU" w:eastAsia="bg-BG"/>
              </w:rPr>
              <w:t>.</w:t>
            </w:r>
          </w:p>
          <w:p w:rsidR="00E578C5" w:rsidRDefault="00E578C5" w:rsidP="00821661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Определянето на ставките се базира на ставките</w:t>
            </w:r>
            <w:r w:rsidR="009B3888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</w:t>
            </w:r>
            <w:r w:rsidR="00FD735D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установени в ПМС </w:t>
            </w:r>
            <w:r w:rsidR="00743D51">
              <w:rPr>
                <w:rFonts w:ascii="Georgia" w:hAnsi="Georgia"/>
                <w:sz w:val="22"/>
                <w:szCs w:val="22"/>
                <w:lang w:val="bg-BG" w:eastAsia="bg-BG"/>
              </w:rPr>
              <w:t>280</w:t>
            </w:r>
            <w:r w:rsidR="00FD735D">
              <w:rPr>
                <w:rFonts w:ascii="Georgia" w:hAnsi="Georgia"/>
                <w:sz w:val="22"/>
                <w:szCs w:val="22"/>
                <w:lang w:val="bg-BG" w:eastAsia="bg-BG"/>
              </w:rPr>
              <w:t>/</w:t>
            </w:r>
            <w:r w:rsidR="00A10C34">
              <w:rPr>
                <w:rFonts w:ascii="Georgia" w:hAnsi="Georgia"/>
                <w:sz w:val="22"/>
                <w:szCs w:val="22"/>
                <w:lang w:val="bg-BG" w:eastAsia="bg-BG"/>
              </w:rPr>
              <w:t>15.10.</w:t>
            </w:r>
            <w:r w:rsidR="00743D51">
              <w:rPr>
                <w:rFonts w:ascii="Georgia" w:hAnsi="Georgia"/>
                <w:sz w:val="22"/>
                <w:szCs w:val="22"/>
                <w:lang w:val="bg-BG" w:eastAsia="bg-BG"/>
              </w:rPr>
              <w:t>2015</w:t>
            </w:r>
            <w:r w:rsidR="00A10C34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="00FD735D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г. </w:t>
            </w:r>
            <w:r w:rsidR="00743D51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и НПДЗ 2016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за следните категории разходи:</w:t>
            </w:r>
          </w:p>
          <w:p w:rsidR="00E578C5" w:rsidRPr="00E578C5" w:rsidRDefault="00E578C5" w:rsidP="00E578C5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 w:rsidRPr="004A405A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Предоставяне на обучение 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придобиване на професионална 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lastRenderedPageBreak/>
              <w:t>квалификация</w:t>
            </w:r>
            <w:r w:rsidR="00743D51">
              <w:rPr>
                <w:rFonts w:ascii="Georgia" w:hAnsi="Georgia"/>
                <w:sz w:val="22"/>
                <w:szCs w:val="22"/>
                <w:lang w:val="bg-BG" w:eastAsia="bg-BG"/>
              </w:rPr>
              <w:t>;</w:t>
            </w:r>
          </w:p>
          <w:p w:rsidR="00E578C5" w:rsidRDefault="00E578C5" w:rsidP="00E578C5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Предоставяне на обучение за придобиване на професионална квалификация по част от професия;</w:t>
            </w:r>
          </w:p>
          <w:p w:rsidR="008E3E0D" w:rsidRDefault="00E578C5" w:rsidP="00E578C5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 w:rsidRPr="00E578C5">
              <w:rPr>
                <w:rFonts w:ascii="Georgia" w:hAnsi="Georgia"/>
                <w:sz w:val="22"/>
                <w:szCs w:val="22"/>
                <w:lang w:val="ru-RU" w:eastAsia="bg-BG"/>
              </w:rPr>
              <w:t>Предоставяне на обучение за придобиване на ключови компетентности</w:t>
            </w:r>
            <w:r w:rsidR="008E3E0D">
              <w:rPr>
                <w:rFonts w:ascii="Georgia" w:hAnsi="Georgia"/>
                <w:sz w:val="22"/>
                <w:szCs w:val="22"/>
                <w:lang w:val="ru-RU" w:eastAsia="bg-BG"/>
              </w:rPr>
              <w:t>.</w:t>
            </w:r>
          </w:p>
          <w:p w:rsidR="00D34532" w:rsidRDefault="008E3E0D">
            <w:pPr>
              <w:spacing w:before="120" w:after="120"/>
              <w:ind w:firstLine="357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В случай на съфинансиране от страна на Бенефицента условията и редът се залагат в критериите за избор на операции. Същото следва да бъде включено в бюджета на проекта и отразено в аналитичната счетоводна отчетност на Бенефициента. </w:t>
            </w:r>
          </w:p>
          <w:p w:rsidR="00D34532" w:rsidRDefault="008E3E0D">
            <w:pPr>
              <w:spacing w:before="120" w:after="120"/>
              <w:ind w:firstLine="357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Размерът на съфинасирането се определя в процентно изражение </w:t>
            </w:r>
            <w:r w:rsidR="003B78AA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както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спрямо заложената единична стойност на единица продукт, </w:t>
            </w:r>
            <w:r w:rsidR="003B78AA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така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и спрямо заложената минимална продължителност на обучението.</w:t>
            </w:r>
          </w:p>
          <w:p w:rsidR="00D34532" w:rsidRPr="00D00783" w:rsidRDefault="00AC0750" w:rsidP="00B61088">
            <w:pPr>
              <w:spacing w:before="120" w:after="120"/>
              <w:ind w:firstLine="240"/>
              <w:jc w:val="both"/>
              <w:rPr>
                <w:rFonts w:ascii="Georgia" w:hAnsi="Georgia"/>
                <w:b/>
                <w:sz w:val="22"/>
                <w:szCs w:val="22"/>
                <w:lang w:val="ru-RU" w:eastAsia="bg-BG"/>
              </w:rPr>
            </w:pPr>
            <w:r w:rsidRPr="00AC0750">
              <w:rPr>
                <w:rFonts w:ascii="Georgia" w:hAnsi="Georgia"/>
                <w:b/>
                <w:sz w:val="22"/>
                <w:szCs w:val="22"/>
                <w:lang w:val="ru-RU" w:eastAsia="bg-BG"/>
              </w:rPr>
              <w:t xml:space="preserve">Пример: </w:t>
            </w:r>
          </w:p>
          <w:p w:rsidR="00D00783" w:rsidRPr="00586AEE" w:rsidRDefault="00D00783" w:rsidP="00D00783">
            <w:pPr>
              <w:numPr>
                <w:ilvl w:val="0"/>
                <w:numId w:val="11"/>
              </w:numPr>
              <w:spacing w:after="120"/>
              <w:jc w:val="both"/>
              <w:rPr>
                <w:lang w:eastAsia="bg-BG"/>
              </w:rPr>
            </w:pPr>
            <w:r>
              <w:rPr>
                <w:rFonts w:ascii="Georgia" w:hAnsi="Georgia"/>
                <w:b/>
                <w:sz w:val="22"/>
                <w:szCs w:val="22"/>
                <w:lang w:val="bg-BG" w:eastAsia="bg-BG"/>
              </w:rPr>
              <w:t xml:space="preserve">Прилага се в случаите, в които в </w:t>
            </w:r>
            <w:r w:rsidR="006A1501">
              <w:rPr>
                <w:lang w:val="bg-BG" w:eastAsia="bg-BG"/>
              </w:rPr>
              <w:t>стойността на обучението съгласно таблицата за единица продукт</w:t>
            </w:r>
            <w:r w:rsidRPr="00586AEE">
              <w:rPr>
                <w:lang w:eastAsia="bg-BG"/>
              </w:rPr>
              <w:t xml:space="preserve"> </w:t>
            </w:r>
            <w:r w:rsidR="006A1501" w:rsidRPr="00172B62">
              <w:rPr>
                <w:b/>
                <w:lang w:val="bg-BG" w:eastAsia="bg-BG"/>
              </w:rPr>
              <w:t>се</w:t>
            </w:r>
            <w:r w:rsidR="006A1501">
              <w:rPr>
                <w:lang w:val="bg-BG" w:eastAsia="bg-BG"/>
              </w:rPr>
              <w:t xml:space="preserve"> </w:t>
            </w:r>
            <w:r w:rsidRPr="00D00783">
              <w:rPr>
                <w:b/>
                <w:lang w:eastAsia="bg-BG"/>
              </w:rPr>
              <w:t>включва</w:t>
            </w:r>
            <w:r>
              <w:rPr>
                <w:lang w:eastAsia="bg-BG"/>
              </w:rPr>
              <w:t xml:space="preserve"> стойността на </w:t>
            </w:r>
            <w:r w:rsidR="006A1501">
              <w:rPr>
                <w:lang w:val="bg-BG" w:eastAsia="bg-BG"/>
              </w:rPr>
              <w:t xml:space="preserve">съфинансирането от страна на бенефициента </w:t>
            </w:r>
            <w:r w:rsidRPr="00586AEE">
              <w:rPr>
                <w:lang w:eastAsia="bg-BG"/>
              </w:rPr>
              <w:t>за един обучаем за придобиване на професионална квалификация</w:t>
            </w:r>
            <w:r>
              <w:rPr>
                <w:lang w:val="bg-BG" w:eastAsia="bg-BG"/>
              </w:rPr>
              <w:t xml:space="preserve"> и ключова компетентност</w:t>
            </w:r>
            <w:r w:rsidRPr="00586AEE">
              <w:rPr>
                <w:lang w:eastAsia="bg-BG"/>
              </w:rPr>
              <w:t xml:space="preserve">: </w:t>
            </w:r>
          </w:p>
          <w:p w:rsidR="00D00783" w:rsidRDefault="00D00783" w:rsidP="00D00783">
            <w:pPr>
              <w:spacing w:before="120" w:after="120"/>
              <w:ind w:firstLine="240"/>
              <w:jc w:val="both"/>
              <w:rPr>
                <w:lang w:val="bg-BG"/>
              </w:rPr>
            </w:pP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Обучение за придобиване на </w:t>
            </w:r>
            <w:r w:rsidRPr="00A53416">
              <w:t>трета степен</w:t>
            </w:r>
            <w:r w:rsidRPr="00A53416">
              <w:rPr>
                <w:lang w:val="bg-BG"/>
              </w:rPr>
              <w:t xml:space="preserve"> на професионална квалификация</w:t>
            </w:r>
            <w:r w:rsidRPr="00A53416">
              <w:t>, с продължителност не по-малка от 960 учебни часа - 1800 лв.</w:t>
            </w:r>
          </w:p>
          <w:p w:rsidR="00D00783" w:rsidRDefault="00D00783" w:rsidP="00D00783">
            <w:pPr>
              <w:spacing w:before="120" w:after="120"/>
              <w:ind w:firstLine="357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>Съфинансиране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то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от страна на Бенефициента, определено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в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критериите за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избор на 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>операция за голямо предприятие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,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не надхвърля 50% от общата стойност на допуст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имите разходи по проекта.</w:t>
            </w:r>
          </w:p>
          <w:p w:rsidR="00D00783" w:rsidRDefault="00D00783" w:rsidP="00D00783">
            <w:pPr>
              <w:spacing w:before="120" w:after="120"/>
              <w:ind w:firstLine="357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В този случай съфинансирането намира своето отражение, както следва:</w:t>
            </w:r>
          </w:p>
          <w:p w:rsidR="00D00783" w:rsidRPr="00E60DC1" w:rsidRDefault="00D00783" w:rsidP="00E60DC1">
            <w:pPr>
              <w:pStyle w:val="ListParagraph"/>
              <w:numPr>
                <w:ilvl w:val="1"/>
                <w:numId w:val="12"/>
              </w:num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Обща стойност на обучението за едно лице 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>е 1800 лв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.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50 %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съфинансиране от страна на Бенефициента спрямо общата стойност на обучението за едно лице е равна 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на 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900 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лв. В този случай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стойността на безвъзмездната помощ за бенефициента е в размер на 900 лв. и 900 лв. съфинансиране от негова страна.</w:t>
            </w:r>
          </w:p>
          <w:p w:rsidR="00D00783" w:rsidRPr="00B61088" w:rsidRDefault="00E60DC1" w:rsidP="003B78AA">
            <w:pPr>
              <w:pStyle w:val="ListParagraph"/>
              <w:numPr>
                <w:ilvl w:val="1"/>
                <w:numId w:val="12"/>
              </w:num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Минималната продължителност на обучението</w:t>
            </w:r>
            <w:r w:rsidRPr="00A53416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е 960</w:t>
            </w:r>
            <w:r w:rsidRPr="00A53416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часа. </w:t>
            </w:r>
            <w:r w:rsidRPr="00A53416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50 %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съфинансиране от страна на Бенефициента спрямо общата продължителност на обучението е 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480</w:t>
            </w:r>
            <w:r w:rsidRPr="00A53416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часа</w:t>
            </w:r>
            <w:r w:rsidRPr="00A53416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. </w:t>
            </w:r>
            <w:r w:rsidRPr="00AC0750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В този случай 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съфинансирането от страна на бенефициента по отношение на продължителността на обучението е 480 часа, а останалите 480 часа са финансирани с безвъзмездна финансова помощ.</w:t>
            </w:r>
          </w:p>
        </w:tc>
      </w:tr>
      <w:tr w:rsidR="00553B0D" w:rsidRPr="00B029F8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Стандартен р</w:t>
            </w:r>
            <w:r w:rsidRPr="00B029F8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 xml:space="preserve">азмер на единичния разход/ </w:t>
            </w: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 xml:space="preserve">размер на </w:t>
            </w:r>
            <w:r w:rsidRPr="00B029F8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глобалната сума</w:t>
            </w: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 xml:space="preserve">, вкл. различия </w:t>
            </w: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по целеви групи, дейности, географски райони</w:t>
            </w:r>
          </w:p>
        </w:tc>
        <w:tc>
          <w:tcPr>
            <w:tcW w:w="72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lastRenderedPageBreak/>
              <w:t xml:space="preserve">Стандартният размер на единичния разход се определя </w:t>
            </w:r>
            <w:r w:rsidRPr="00EF534D">
              <w:rPr>
                <w:rFonts w:ascii="Georgia" w:hAnsi="Georgia"/>
                <w:sz w:val="22"/>
                <w:szCs w:val="22"/>
                <w:lang w:val="bg-BG" w:eastAsia="bg-BG"/>
              </w:rPr>
              <w:t>по вид обучение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– професионална квалификация или ключови компетенции, в т.ч.:</w:t>
            </w:r>
          </w:p>
          <w:p w:rsidR="00553B0D" w:rsidRDefault="00553B0D" w:rsidP="00553B0D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lastRenderedPageBreak/>
              <w:t>по степен на професионална квалификация – за обучение по професионална квалификация;</w:t>
            </w:r>
          </w:p>
          <w:p w:rsidR="00553B0D" w:rsidRDefault="00553B0D" w:rsidP="00553B0D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по вид ключова компетентност – за обучение по тип ключови компетенции съгласно Европейската квалификационна рамка.</w:t>
            </w:r>
          </w:p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Няма регионални различия.</w:t>
            </w:r>
          </w:p>
          <w:p w:rsidR="00553B0D" w:rsidRPr="00EF534D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Няма различия по целеви групи.</w:t>
            </w:r>
          </w:p>
        </w:tc>
      </w:tr>
      <w:tr w:rsidR="00553B0D" w:rsidRPr="00873345" w:rsidTr="009B3888">
        <w:tc>
          <w:tcPr>
            <w:tcW w:w="38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Категории разходи, които се включват в изчисляването на индикатора</w:t>
            </w:r>
          </w:p>
        </w:tc>
        <w:tc>
          <w:tcPr>
            <w:tcW w:w="7228" w:type="dxa"/>
          </w:tcPr>
          <w:p w:rsidR="00D34532" w:rsidRDefault="00752779">
            <w:pPr>
              <w:spacing w:before="120" w:after="120"/>
              <w:jc w:val="both"/>
              <w:rPr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В стойността на единица продукт – обучение са включени всички присъщи разходи за него, както следва: р</w:t>
            </w:r>
            <w:r w:rsidR="00AC0750"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>азходи за оригинални учебни материали, консумативи, застраховки при обучение за професионална квалификация, издаване на документ за завършено обучение, възнаграждение на преподаватели, осигуровки, наем на материално техническа база, както и всички административни, режийни и други разходи, включително разходи за осъществяване на дейността</w:t>
            </w:r>
            <w:r w:rsidR="00D4554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свързана с предоставянето на </w:t>
            </w:r>
            <w:r w:rsidR="00AC0750"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>обучението</w:t>
            </w:r>
            <w:r w:rsidR="00D45542">
              <w:rPr>
                <w:rFonts w:ascii="Georgia" w:hAnsi="Georgia"/>
                <w:sz w:val="22"/>
                <w:szCs w:val="22"/>
                <w:lang w:val="bg-BG" w:eastAsia="bg-BG"/>
              </w:rPr>
              <w:t>/ята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, в съответствие от допълнителните разпоредби на ПМС 280/</w:t>
            </w:r>
            <w:r w:rsidR="007152DD">
              <w:rPr>
                <w:rFonts w:ascii="Georgia" w:hAnsi="Georgia"/>
                <w:sz w:val="22"/>
                <w:szCs w:val="22"/>
                <w:lang w:val="bg-BG" w:eastAsia="bg-BG"/>
              </w:rPr>
              <w:t>15.10.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2015</w:t>
            </w:r>
            <w:r w:rsidR="007152DD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г.</w:t>
            </w:r>
          </w:p>
        </w:tc>
      </w:tr>
      <w:tr w:rsidR="00553B0D" w:rsidRPr="00B029F8" w:rsidTr="009B3888">
        <w:tc>
          <w:tcPr>
            <w:tcW w:w="38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Метод за изчисляване на разхода</w:t>
            </w:r>
          </w:p>
        </w:tc>
        <w:tc>
          <w:tcPr>
            <w:tcW w:w="7228" w:type="dxa"/>
          </w:tcPr>
          <w:p w:rsidR="00553B0D" w:rsidRDefault="00E578C5" w:rsidP="00F111EB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Съгласно </w:t>
            </w:r>
            <w:r w:rsidR="00B372B1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заложените в </w:t>
            </w:r>
            <w:r w:rsidR="00F111EB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ПМС </w:t>
            </w:r>
            <w:r w:rsidR="00603FBD">
              <w:rPr>
                <w:rFonts w:ascii="Georgia" w:hAnsi="Georgia"/>
                <w:sz w:val="22"/>
                <w:szCs w:val="22"/>
                <w:lang w:val="bg-BG" w:eastAsia="bg-BG"/>
              </w:rPr>
              <w:t>280</w:t>
            </w:r>
            <w:r w:rsidR="00F111EB">
              <w:rPr>
                <w:rFonts w:ascii="Georgia" w:hAnsi="Georgia"/>
                <w:sz w:val="22"/>
                <w:szCs w:val="22"/>
                <w:lang w:val="bg-BG" w:eastAsia="bg-BG"/>
              </w:rPr>
              <w:t>/</w:t>
            </w:r>
            <w:r w:rsidR="007152DD">
              <w:rPr>
                <w:rFonts w:ascii="Georgia" w:hAnsi="Georgia"/>
                <w:sz w:val="22"/>
                <w:szCs w:val="22"/>
                <w:lang w:val="bg-BG" w:eastAsia="bg-BG"/>
              </w:rPr>
              <w:t>15.10.</w:t>
            </w:r>
            <w:r w:rsidR="00F111EB">
              <w:rPr>
                <w:rFonts w:ascii="Georgia" w:hAnsi="Georgia"/>
                <w:sz w:val="22"/>
                <w:szCs w:val="22"/>
                <w:lang w:val="bg-BG" w:eastAsia="bg-BG"/>
              </w:rPr>
              <w:t>20</w:t>
            </w:r>
            <w:r w:rsidR="00603FBD">
              <w:rPr>
                <w:rFonts w:ascii="Georgia" w:hAnsi="Georgia"/>
                <w:sz w:val="22"/>
                <w:szCs w:val="22"/>
                <w:lang w:val="bg-BG" w:eastAsia="bg-BG"/>
              </w:rPr>
              <w:t>15</w:t>
            </w:r>
            <w:r w:rsidR="007152DD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г.</w:t>
            </w:r>
            <w:r w:rsidR="00F111EB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 w:rsidR="00B372B1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и НПДЗ 2016 </w:t>
            </w:r>
            <w:r w:rsidR="00F111EB">
              <w:rPr>
                <w:rFonts w:ascii="Georgia" w:hAnsi="Georgia"/>
                <w:sz w:val="22"/>
                <w:szCs w:val="22"/>
                <w:lang w:val="bg-BG" w:eastAsia="bg-BG"/>
              </w:rPr>
              <w:t>приложими</w:t>
            </w:r>
            <w:r w:rsidR="00B372B1">
              <w:rPr>
                <w:rFonts w:ascii="Georgia" w:hAnsi="Georgia"/>
                <w:sz w:val="22"/>
                <w:szCs w:val="22"/>
                <w:lang w:val="bg-BG" w:eastAsia="bg-BG"/>
              </w:rPr>
              <w:t>те</w:t>
            </w:r>
            <w:r w:rsidR="00F111EB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ставки за обучения за придобиване на професионална квалификация и за обучения за придобиване на ключови компетентности са както следва:</w:t>
            </w:r>
          </w:p>
          <w:p w:rsidR="005421FE" w:rsidRPr="00650C51" w:rsidRDefault="005421FE" w:rsidP="00F111EB">
            <w:pPr>
              <w:jc w:val="both"/>
              <w:rPr>
                <w:b/>
              </w:rPr>
            </w:pPr>
            <w:r>
              <w:t xml:space="preserve">1. </w:t>
            </w:r>
            <w:r w:rsidR="00AC0750" w:rsidRPr="00AC0750">
              <w:rPr>
                <w:b/>
              </w:rPr>
              <w:t>за обучения за придобиване на професионална квалификация:</w:t>
            </w:r>
          </w:p>
          <w:p w:rsidR="005421FE" w:rsidRDefault="005421FE" w:rsidP="00F111EB">
            <w:pPr>
              <w:jc w:val="both"/>
            </w:pPr>
            <w:r>
              <w:t>а) за първа степен, с продължителност не по-малка от 300 учебни часа - 600 лв.;</w:t>
            </w:r>
          </w:p>
          <w:p w:rsidR="005421FE" w:rsidRDefault="005421FE" w:rsidP="00F111EB">
            <w:pPr>
              <w:jc w:val="both"/>
            </w:pPr>
            <w:r>
              <w:t>б) за втора степен, с продължителност не по-малка от 660 учебни часа - 1200 лв.;</w:t>
            </w:r>
          </w:p>
          <w:p w:rsidR="005421FE" w:rsidRDefault="005421FE" w:rsidP="00F111EB">
            <w:pPr>
              <w:jc w:val="both"/>
            </w:pPr>
            <w:r>
              <w:t>в) за трета степен, с продължителност не по-малка от 960 учебни часа - 1800 лв.;</w:t>
            </w:r>
          </w:p>
          <w:p w:rsidR="005421FE" w:rsidRDefault="005421FE" w:rsidP="00F111EB">
            <w:pPr>
              <w:jc w:val="both"/>
            </w:pPr>
            <w:r>
              <w:t>г) за част от професия по първа квалификационна степен, с продължителност не по-малка от 200 учебни часа - 400 лв.;</w:t>
            </w:r>
          </w:p>
          <w:p w:rsidR="005421FE" w:rsidRDefault="005421FE" w:rsidP="00F111EB">
            <w:pPr>
              <w:jc w:val="both"/>
            </w:pPr>
            <w:r>
              <w:t>д) за част от професия по втора квалификационна степен, с продължителност не по-малка от 300 учебни часа - 600 лв.;</w:t>
            </w:r>
          </w:p>
          <w:p w:rsidR="005421FE" w:rsidRDefault="005421FE" w:rsidP="00F111EB">
            <w:pPr>
              <w:jc w:val="both"/>
            </w:pPr>
            <w:r>
              <w:t>е) за част от професия по трета квалификационна степен, с продължителност не по-малка от 600 учебни часа - 1125 лв.;</w:t>
            </w:r>
          </w:p>
          <w:p w:rsidR="00F111EB" w:rsidRPr="00650C51" w:rsidRDefault="00AC0750" w:rsidP="00F111EB">
            <w:pPr>
              <w:jc w:val="both"/>
              <w:rPr>
                <w:b/>
              </w:rPr>
            </w:pPr>
            <w:r w:rsidRPr="00AC0750">
              <w:rPr>
                <w:b/>
              </w:rPr>
              <w:t>2. за обучения за придобиване на ключови компетентности:</w:t>
            </w:r>
          </w:p>
          <w:p w:rsidR="00F111EB" w:rsidRDefault="00F111EB" w:rsidP="00F111EB">
            <w:pPr>
              <w:jc w:val="both"/>
            </w:pPr>
            <w:r>
              <w:t xml:space="preserve">а) за обучения по ключова компетентност 1 </w:t>
            </w:r>
            <w:r>
              <w:rPr>
                <w:lang w:val="bg-BG"/>
              </w:rPr>
              <w:t>- о</w:t>
            </w:r>
            <w:r>
              <w:t>бщуване на роден език</w:t>
            </w:r>
            <w:r>
              <w:rPr>
                <w:lang w:val="bg-BG"/>
              </w:rPr>
              <w:t xml:space="preserve"> </w:t>
            </w:r>
            <w:r>
              <w:t xml:space="preserve"> с продължителност не по-малка от 16 учебни часа - 70 лв.;</w:t>
            </w:r>
          </w:p>
          <w:p w:rsidR="00F111EB" w:rsidRDefault="00F111EB" w:rsidP="00F111EB">
            <w:pPr>
              <w:jc w:val="both"/>
            </w:pPr>
            <w:r>
              <w:t>б) за обучения по ключова компетентност 2</w:t>
            </w:r>
            <w:r>
              <w:rPr>
                <w:lang w:val="bg-BG"/>
              </w:rPr>
              <w:t xml:space="preserve"> – общуване на чужд език</w:t>
            </w:r>
            <w:r>
              <w:t xml:space="preserve"> с продължителност не по-малка от 300 учебни часа и три нива на обучение - 700 лв.;</w:t>
            </w:r>
          </w:p>
          <w:p w:rsidR="00F111EB" w:rsidRDefault="00F111EB" w:rsidP="00F111EB">
            <w:pPr>
              <w:jc w:val="both"/>
            </w:pPr>
            <w:r>
              <w:t>в) за обучения по ключова компетентност 3</w:t>
            </w:r>
            <w:r>
              <w:rPr>
                <w:lang w:val="bg-BG"/>
              </w:rPr>
              <w:t xml:space="preserve"> - м</w:t>
            </w:r>
            <w:r>
              <w:t>атематическа компетентност и основни знания в областта на природните науки и технологиите с продължителност не по-малка от 30 учебни часа - 140 лв.;</w:t>
            </w:r>
          </w:p>
          <w:p w:rsidR="00F111EB" w:rsidRDefault="00F111EB" w:rsidP="00F111EB">
            <w:pPr>
              <w:jc w:val="both"/>
            </w:pPr>
            <w:r>
              <w:t xml:space="preserve">г) за обучения по ключова компетентност 4 </w:t>
            </w:r>
            <w:r>
              <w:rPr>
                <w:lang w:val="bg-BG"/>
              </w:rPr>
              <w:t>- д</w:t>
            </w:r>
            <w:r>
              <w:t xml:space="preserve">игитална </w:t>
            </w:r>
            <w:r>
              <w:lastRenderedPageBreak/>
              <w:t>компетентност с продължителност не по-малка от 45 учебни часа - 250 лв.;</w:t>
            </w:r>
          </w:p>
          <w:p w:rsidR="00F111EB" w:rsidRDefault="00F111EB" w:rsidP="00F111EB">
            <w:pPr>
              <w:jc w:val="both"/>
            </w:pPr>
            <w:r>
              <w:t>д) за обучения по ключови компетентност 5</w:t>
            </w:r>
            <w:r>
              <w:rPr>
                <w:lang w:val="bg-BG"/>
              </w:rPr>
              <w:t xml:space="preserve"> -</w:t>
            </w:r>
            <w:r>
              <w:t xml:space="preserve"> </w:t>
            </w:r>
            <w:r>
              <w:rPr>
                <w:lang w:val="bg-BG"/>
              </w:rPr>
              <w:t>у</w:t>
            </w:r>
            <w:r>
              <w:t>мение за учене с продължителност не по-малка от 30 учебни часа - 140 лв.</w:t>
            </w:r>
          </w:p>
          <w:p w:rsidR="00F111EB" w:rsidRDefault="00F111EB" w:rsidP="00F111EB">
            <w:pPr>
              <w:jc w:val="both"/>
            </w:pPr>
            <w:r>
              <w:rPr>
                <w:lang w:val="bg-BG"/>
              </w:rPr>
              <w:t>е</w:t>
            </w:r>
            <w:r>
              <w:t xml:space="preserve">) за обучения по ключови компетентност 6 </w:t>
            </w:r>
            <w:r>
              <w:rPr>
                <w:lang w:val="bg-BG"/>
              </w:rPr>
              <w:t>о</w:t>
            </w:r>
            <w:r>
              <w:t>бществени и граждански компетентности</w:t>
            </w:r>
            <w:r>
              <w:rPr>
                <w:lang w:val="bg-BG"/>
              </w:rPr>
              <w:t xml:space="preserve"> </w:t>
            </w:r>
            <w:r>
              <w:t>с продължителност не по-малка от 30 учебни часа - 140 лв.</w:t>
            </w:r>
          </w:p>
          <w:p w:rsidR="00EE2358" w:rsidRDefault="00F111EB" w:rsidP="00F111EB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ж</w:t>
            </w:r>
            <w:r>
              <w:t xml:space="preserve">) за обучения по ключови компетентност 7 </w:t>
            </w:r>
            <w:r>
              <w:rPr>
                <w:lang w:val="bg-BG"/>
              </w:rPr>
              <w:t>и</w:t>
            </w:r>
            <w:r>
              <w:t>нициативност и предприемачество</w:t>
            </w:r>
            <w:r>
              <w:rPr>
                <w:lang w:val="bg-BG"/>
              </w:rPr>
              <w:t xml:space="preserve"> </w:t>
            </w:r>
            <w:r>
              <w:t>с продължителност не по-малка от 30 учебни часа - 140 лв.</w:t>
            </w:r>
          </w:p>
          <w:p w:rsidR="00EE2358" w:rsidRPr="00EE2358" w:rsidRDefault="00EE2358" w:rsidP="00F111EB">
            <w:pPr>
              <w:jc w:val="both"/>
              <w:rPr>
                <w:lang w:val="bg-BG"/>
              </w:rPr>
            </w:pPr>
          </w:p>
        </w:tc>
      </w:tr>
      <w:tr w:rsidR="00553B0D" w:rsidRPr="00B029F8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lastRenderedPageBreak/>
              <w:t>М</w:t>
            </w:r>
            <w:r w:rsidRPr="00B029F8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етод за актуализиране</w:t>
            </w:r>
          </w:p>
        </w:tc>
        <w:tc>
          <w:tcPr>
            <w:tcW w:w="7228" w:type="dxa"/>
          </w:tcPr>
          <w:p w:rsidR="0030778B" w:rsidRDefault="009B3888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А</w:t>
            </w:r>
            <w:r w:rsidR="006701A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ктуализация при необходимост съгласно ставките заложени в НПДЗ </w:t>
            </w:r>
            <w:r w:rsidR="00F111EB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за изпълнение на активната политика на пазара на труда </w:t>
            </w:r>
            <w:r w:rsidR="006701A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за съответната година или на база на </w:t>
            </w:r>
            <w:r w:rsidR="006E72B0">
              <w:rPr>
                <w:rFonts w:ascii="Georgia" w:hAnsi="Georgia"/>
                <w:sz w:val="22"/>
                <w:szCs w:val="22"/>
                <w:lang w:val="bg-BG" w:eastAsia="bg-BG"/>
              </w:rPr>
              <w:t>извършени промени в нормативната уредба – ПМС 280/</w:t>
            </w:r>
            <w:r w:rsidR="007152DD">
              <w:rPr>
                <w:rFonts w:ascii="Georgia" w:hAnsi="Georgia"/>
                <w:sz w:val="22"/>
                <w:szCs w:val="22"/>
                <w:lang w:val="bg-BG" w:eastAsia="bg-BG"/>
              </w:rPr>
              <w:t>15.10.</w:t>
            </w:r>
            <w:r w:rsidR="006E72B0">
              <w:rPr>
                <w:rFonts w:ascii="Georgia" w:hAnsi="Georgia"/>
                <w:sz w:val="22"/>
                <w:szCs w:val="22"/>
                <w:lang w:val="bg-BG" w:eastAsia="bg-BG"/>
              </w:rPr>
              <w:t>2015</w:t>
            </w:r>
            <w:r w:rsidR="007152DD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г.</w:t>
            </w:r>
          </w:p>
        </w:tc>
      </w:tr>
      <w:tr w:rsidR="00553B0D" w:rsidRPr="00B029F8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И</w:t>
            </w:r>
            <w:r w:rsidRPr="00B029F8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зточник, набиране и съхранение на данни</w:t>
            </w:r>
          </w:p>
        </w:tc>
        <w:tc>
          <w:tcPr>
            <w:tcW w:w="72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Източник на информацията са представяните от бенефициентите отчети и проверки на място.</w:t>
            </w:r>
          </w:p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Данните се набират чрез системата за мониторинг на ОП РЧР 2014-2020</w:t>
            </w:r>
            <w:r w:rsidR="000D5822">
              <w:rPr>
                <w:rFonts w:ascii="Georgia" w:hAnsi="Georgia"/>
                <w:sz w:val="22"/>
                <w:szCs w:val="22"/>
                <w:lang w:val="bg-BG" w:eastAsia="bg-BG"/>
              </w:rPr>
              <w:t>.</w:t>
            </w:r>
          </w:p>
        </w:tc>
      </w:tr>
      <w:tr w:rsidR="00553B0D" w:rsidRPr="00B029F8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В</w:t>
            </w:r>
            <w:r w:rsidRPr="00B029F8"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ерификация на данните за резултатите от проекта</w:t>
            </w:r>
            <w:r>
              <w:rPr>
                <w:rStyle w:val="FootnoteReference"/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footnoteReference w:id="1"/>
            </w:r>
          </w:p>
        </w:tc>
        <w:tc>
          <w:tcPr>
            <w:tcW w:w="7228" w:type="dxa"/>
          </w:tcPr>
          <w:p w:rsidR="00D34532" w:rsidRDefault="00AC0750">
            <w:pPr>
              <w:tabs>
                <w:tab w:val="left" w:pos="34"/>
              </w:tabs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en-US" w:eastAsia="bg-BG"/>
              </w:rPr>
            </w:pPr>
            <w:r w:rsidRPr="00AC0750">
              <w:rPr>
                <w:rFonts w:ascii="Georgia" w:eastAsia="Calibri" w:hAnsi="Georgia"/>
                <w:sz w:val="22"/>
                <w:szCs w:val="22"/>
                <w:lang w:val="bg-BG" w:eastAsia="bg-BG"/>
              </w:rPr>
              <w:t>Работодателят / Обучителна организация ще получи стойността на обучението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>,</w:t>
            </w:r>
            <w:r w:rsidRPr="00AC0750">
              <w:rPr>
                <w:rFonts w:ascii="Georgia" w:eastAsia="Calibri" w:hAnsi="Georgia"/>
                <w:sz w:val="22"/>
                <w:szCs w:val="22"/>
                <w:lang w:val="bg-BG" w:eastAsia="bg-BG"/>
              </w:rPr>
              <w:t xml:space="preserve"> 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>съгласно посочената по-горе стандартната таблица за единица продукт,</w:t>
            </w:r>
            <w:r w:rsidRPr="00AC0750">
              <w:rPr>
                <w:rFonts w:ascii="Georgia" w:eastAsia="Calibri" w:hAnsi="Georgia"/>
                <w:sz w:val="22"/>
                <w:szCs w:val="22"/>
                <w:lang w:val="bg-BG" w:eastAsia="bg-BG"/>
              </w:rPr>
              <w:t xml:space="preserve"> само за 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лицата, </w:t>
            </w:r>
            <w:r w:rsidRPr="00AC0750">
              <w:rPr>
                <w:rFonts w:ascii="Georgia" w:eastAsia="Calibri" w:hAnsi="Georgia"/>
                <w:sz w:val="22"/>
                <w:szCs w:val="22"/>
                <w:lang w:val="bg-BG" w:eastAsia="bg-BG"/>
              </w:rPr>
              <w:t>успешно приключ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>или</w:t>
            </w:r>
            <w:r w:rsidRPr="00AC0750">
              <w:rPr>
                <w:rFonts w:ascii="Georgia" w:eastAsia="Calibri" w:hAnsi="Georgia"/>
                <w:sz w:val="22"/>
                <w:szCs w:val="22"/>
                <w:lang w:val="bg-BG" w:eastAsia="bg-BG"/>
              </w:rPr>
              <w:t xml:space="preserve"> обучение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>то</w:t>
            </w:r>
            <w:r w:rsidRPr="00AC0750">
              <w:rPr>
                <w:rFonts w:ascii="Georgia" w:eastAsia="Calibri" w:hAnsi="Georgia"/>
                <w:sz w:val="22"/>
                <w:szCs w:val="22"/>
                <w:lang w:val="bg-BG" w:eastAsia="bg-BG"/>
              </w:rPr>
              <w:t xml:space="preserve">. Успешно приключено обучение е завършен пълен курс на обучение, съгласно утвърдената учебна програма и проведени заключителни изпити, ако такива са предвидени, доказано с документ за преминато обучение и минимум 80 на сто присъствие на учебните </w:t>
            </w:r>
            <w:r w:rsidRPr="00AC0750">
              <w:rPr>
                <w:rFonts w:ascii="Georgia" w:hAnsi="Georgia"/>
                <w:sz w:val="22"/>
                <w:szCs w:val="22"/>
                <w:lang w:val="bg-BG" w:eastAsia="bg-BG"/>
              </w:rPr>
              <w:t>занятия</w:t>
            </w:r>
            <w:r w:rsidR="00701C6B">
              <w:rPr>
                <w:rFonts w:ascii="Georgia" w:hAnsi="Georgia"/>
                <w:sz w:val="22"/>
                <w:szCs w:val="22"/>
                <w:lang w:val="en-US" w:eastAsia="bg-BG"/>
              </w:rPr>
              <w:t>.</w:t>
            </w:r>
          </w:p>
          <w:p w:rsidR="00D34532" w:rsidRDefault="00701C6B">
            <w:pPr>
              <w:tabs>
                <w:tab w:val="left" w:pos="34"/>
              </w:tabs>
              <w:spacing w:before="120" w:after="120"/>
              <w:jc w:val="both"/>
              <w:rPr>
                <w:rFonts w:ascii="Georgia" w:eastAsia="Calibri" w:hAnsi="Georgia"/>
                <w:sz w:val="22"/>
                <w:szCs w:val="22"/>
                <w:lang w:val="en-US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За доказване на проведеното обучение и верификация на декларираните разходи, работодателят/обучителната организация следва да представи:</w:t>
            </w:r>
          </w:p>
          <w:p w:rsidR="00587221" w:rsidRDefault="00587221" w:rsidP="00553B0D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Учебен график по дни и часове;</w:t>
            </w:r>
          </w:p>
          <w:p w:rsidR="00553B0D" w:rsidRDefault="000D5822" w:rsidP="00553B0D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Присъствени с</w:t>
            </w:r>
            <w:r w:rsidR="00553B0D">
              <w:rPr>
                <w:rFonts w:ascii="Georgia" w:hAnsi="Georgia"/>
                <w:sz w:val="22"/>
                <w:szCs w:val="22"/>
                <w:lang w:val="bg-BG" w:eastAsia="bg-BG"/>
              </w:rPr>
              <w:t>писъци на участниците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за всеки ден обучение, съдържащи информация за броя часове, които всеки обучаем е присъствал на обучението</w:t>
            </w:r>
            <w:r w:rsidR="00553B0D">
              <w:rPr>
                <w:rFonts w:ascii="Georgia" w:hAnsi="Georgia"/>
                <w:sz w:val="22"/>
                <w:szCs w:val="22"/>
                <w:lang w:val="bg-BG" w:eastAsia="bg-BG"/>
              </w:rPr>
              <w:t>;</w:t>
            </w:r>
          </w:p>
          <w:p w:rsidR="00701C6B" w:rsidRDefault="00701C6B" w:rsidP="00553B0D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Документи за преминато обучение (сертификати).</w:t>
            </w:r>
          </w:p>
          <w:p w:rsidR="00022F83" w:rsidRDefault="00553B0D" w:rsidP="00553B0D">
            <w:pPr>
              <w:numPr>
                <w:ilvl w:val="0"/>
                <w:numId w:val="2"/>
              </w:num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Анкетни карти (входящи и изходящи)</w:t>
            </w:r>
            <w:r w:rsidR="00251D92">
              <w:rPr>
                <w:rFonts w:ascii="Georgia" w:hAnsi="Georgia"/>
                <w:sz w:val="22"/>
                <w:szCs w:val="22"/>
                <w:lang w:val="en-US" w:eastAsia="bg-BG"/>
              </w:rPr>
              <w:t xml:space="preserve"> </w:t>
            </w:r>
            <w:r w:rsidR="00251D9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и таблица </w:t>
            </w:r>
            <w:proofErr w:type="spellStart"/>
            <w:r w:rsidR="00251D92">
              <w:rPr>
                <w:rFonts w:ascii="Georgia" w:hAnsi="Georgia"/>
                <w:sz w:val="22"/>
                <w:szCs w:val="22"/>
                <w:lang w:val="bg-BG" w:eastAsia="bg-BG"/>
              </w:rPr>
              <w:t>микроданни</w:t>
            </w:r>
            <w:proofErr w:type="spellEnd"/>
            <w:r w:rsidR="00251D9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участници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;</w:t>
            </w:r>
          </w:p>
          <w:p w:rsidR="0030778B" w:rsidRDefault="0030778B" w:rsidP="00251D92">
            <w:pPr>
              <w:spacing w:before="120" w:after="120"/>
              <w:ind w:left="357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</w:p>
        </w:tc>
      </w:tr>
      <w:tr w:rsidR="00553B0D" w:rsidRPr="00B029F8" w:rsidTr="009B3888">
        <w:tc>
          <w:tcPr>
            <w:tcW w:w="38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ru-RU" w:eastAsia="bg-BG"/>
              </w:rPr>
              <w:t>Третиране на обществени поръчки</w:t>
            </w:r>
          </w:p>
        </w:tc>
        <w:tc>
          <w:tcPr>
            <w:tcW w:w="7228" w:type="dxa"/>
          </w:tcPr>
          <w:p w:rsidR="00553B0D" w:rsidRPr="00B029F8" w:rsidRDefault="00F11001" w:rsidP="00F11001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 w:rsidRPr="006701A2">
              <w:rPr>
                <w:rFonts w:ascii="Georgia" w:hAnsi="Georgia"/>
                <w:sz w:val="22"/>
                <w:szCs w:val="22"/>
                <w:lang w:val="bg-BG" w:eastAsia="bg-BG"/>
              </w:rPr>
              <w:t>С</w:t>
            </w:r>
            <w:r w:rsidR="006701A2" w:rsidRPr="006701A2">
              <w:rPr>
                <w:rFonts w:ascii="Georgia" w:hAnsi="Georgia"/>
                <w:sz w:val="22"/>
                <w:szCs w:val="22"/>
                <w:lang w:val="bg-BG" w:eastAsia="bg-BG"/>
              </w:rPr>
              <w:t>тандартна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та</w:t>
            </w:r>
            <w:r w:rsidR="006701A2" w:rsidRPr="006701A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таблица на разходите за единица продукт</w:t>
            </w:r>
            <w:r w:rsidR="006701A2">
              <w:rPr>
                <w:rFonts w:ascii="Georgia" w:hAnsi="Georgia"/>
                <w:sz w:val="22"/>
                <w:szCs w:val="22"/>
                <w:lang w:val="bg-BG" w:eastAsia="bg-BG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не може да се прилага за проекти</w:t>
            </w:r>
            <w:r w:rsidR="006701A2">
              <w:rPr>
                <w:rFonts w:ascii="Georgia" w:hAnsi="Georgia"/>
                <w:sz w:val="22"/>
                <w:szCs w:val="22"/>
                <w:lang w:val="bg-BG" w:eastAsia="bg-BG"/>
              </w:rPr>
              <w:t>, които са изцяло  обект на външно възлагане от страна на бенефициента по проекта.</w:t>
            </w:r>
          </w:p>
        </w:tc>
      </w:tr>
      <w:tr w:rsidR="00553B0D" w:rsidRPr="00B029F8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ru-RU" w:eastAsia="bg-BG"/>
              </w:rPr>
              <w:lastRenderedPageBreak/>
              <w:t>Третиране на държавните помощи</w:t>
            </w:r>
          </w:p>
        </w:tc>
        <w:tc>
          <w:tcPr>
            <w:tcW w:w="7228" w:type="dxa"/>
          </w:tcPr>
          <w:p w:rsidR="00553B0D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Категориите разходи попадат в обхвата на допустимите разходи по Регламент (ЕС) № 1407/2013, при прилагане на изискванията за допустимост на бенефициентите и максималния интензитет на помощта.</w:t>
            </w:r>
          </w:p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sz w:val="22"/>
                <w:szCs w:val="22"/>
                <w:lang w:val="bg-BG" w:eastAsia="bg-BG"/>
              </w:rPr>
              <w:t>Категориите разходи попадат в обхвата на допустимите разходи по чл. 31 от Регламент (ЕС) № 651/2014.</w:t>
            </w:r>
          </w:p>
        </w:tc>
      </w:tr>
      <w:tr w:rsidR="00553B0D" w:rsidRPr="00B029F8" w:rsidTr="009B3888">
        <w:tc>
          <w:tcPr>
            <w:tcW w:w="38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ru-RU" w:eastAsia="bg-BG"/>
              </w:rPr>
              <w:t>Третиране на разходи по правилата на ЕФРР</w:t>
            </w:r>
          </w:p>
        </w:tc>
        <w:tc>
          <w:tcPr>
            <w:tcW w:w="7228" w:type="dxa"/>
          </w:tcPr>
          <w:p w:rsidR="00553B0D" w:rsidRPr="00B029F8" w:rsidRDefault="00553B0D" w:rsidP="00AE539E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>Неприложимо</w:t>
            </w:r>
          </w:p>
        </w:tc>
      </w:tr>
      <w:tr w:rsidR="00553B0D" w:rsidRPr="00B029F8" w:rsidTr="009B3888">
        <w:tc>
          <w:tcPr>
            <w:tcW w:w="3828" w:type="dxa"/>
          </w:tcPr>
          <w:p w:rsidR="00553B0D" w:rsidRPr="00A8746D" w:rsidRDefault="00553B0D" w:rsidP="00AE539E">
            <w:pPr>
              <w:spacing w:before="120" w:after="120"/>
              <w:jc w:val="both"/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</w:pPr>
            <w:r>
              <w:rPr>
                <w:rFonts w:ascii="Georgia" w:hAnsi="Georgia"/>
                <w:i/>
                <w:iCs/>
                <w:sz w:val="22"/>
                <w:szCs w:val="22"/>
                <w:lang w:val="bg-BG" w:eastAsia="bg-BG"/>
              </w:rPr>
              <w:t>Съчетаване с други варианти за опростено отчитане на разходи</w:t>
            </w:r>
          </w:p>
        </w:tc>
        <w:tc>
          <w:tcPr>
            <w:tcW w:w="7228" w:type="dxa"/>
          </w:tcPr>
          <w:p w:rsidR="00553B0D" w:rsidRPr="00B029F8" w:rsidRDefault="006701A2" w:rsidP="006701A2">
            <w:pPr>
              <w:spacing w:before="120" w:after="120"/>
              <w:jc w:val="both"/>
              <w:rPr>
                <w:rFonts w:ascii="Georgia" w:hAnsi="Georgia"/>
                <w:sz w:val="22"/>
                <w:szCs w:val="22"/>
                <w:lang w:val="ru-RU" w:eastAsia="bg-BG"/>
              </w:rPr>
            </w:pP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Възможно е съчетаване на </w:t>
            </w:r>
            <w:r w:rsidRPr="006701A2">
              <w:rPr>
                <w:rFonts w:ascii="Georgia" w:hAnsi="Georgia"/>
                <w:sz w:val="22"/>
                <w:szCs w:val="22"/>
                <w:lang w:val="ru-RU" w:eastAsia="bg-BG"/>
              </w:rPr>
              <w:t>стандартна таблица на разходите за единица продукт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с опростени разходи за отчитане на разходи за организация и управление на даден проект</w:t>
            </w:r>
            <w:r w:rsidR="003E368C"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 (където е приложимо)</w:t>
            </w:r>
            <w:r>
              <w:rPr>
                <w:rFonts w:ascii="Georgia" w:hAnsi="Georgia"/>
                <w:sz w:val="22"/>
                <w:szCs w:val="22"/>
                <w:lang w:val="ru-RU" w:eastAsia="bg-BG"/>
              </w:rPr>
              <w:t xml:space="preserve">. </w:t>
            </w:r>
          </w:p>
        </w:tc>
      </w:tr>
    </w:tbl>
    <w:p w:rsidR="008A5FBD" w:rsidRPr="00553B0D" w:rsidRDefault="008A5FBD">
      <w:pPr>
        <w:rPr>
          <w:lang w:val="en-US"/>
        </w:rPr>
      </w:pPr>
    </w:p>
    <w:sectPr w:rsidR="008A5FBD" w:rsidRPr="00553B0D" w:rsidSect="008A5F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01C" w:rsidRDefault="001F501C" w:rsidP="00553B0D">
      <w:r>
        <w:separator/>
      </w:r>
    </w:p>
  </w:endnote>
  <w:endnote w:type="continuationSeparator" w:id="0">
    <w:p w:rsidR="001F501C" w:rsidRDefault="001F501C" w:rsidP="0055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d">
    <w:charset w:val="B1"/>
    <w:family w:val="modern"/>
    <w:pitch w:val="fixed"/>
    <w:sig w:usb0="00000801" w:usb1="0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01C" w:rsidRDefault="001F501C" w:rsidP="00553B0D">
      <w:r>
        <w:separator/>
      </w:r>
    </w:p>
  </w:footnote>
  <w:footnote w:type="continuationSeparator" w:id="0">
    <w:p w:rsidR="001F501C" w:rsidRDefault="001F501C" w:rsidP="00553B0D">
      <w:r>
        <w:continuationSeparator/>
      </w:r>
    </w:p>
  </w:footnote>
  <w:footnote w:id="1">
    <w:p w:rsidR="00553B0D" w:rsidRPr="00452649" w:rsidRDefault="00553B0D" w:rsidP="00553B0D">
      <w:pPr>
        <w:pStyle w:val="FootnoteText"/>
        <w:rPr>
          <w:rFonts w:ascii="Georgia" w:hAnsi="Georgia"/>
          <w:sz w:val="18"/>
          <w:szCs w:val="18"/>
          <w:lang w:val="bg-BG"/>
        </w:rPr>
      </w:pPr>
      <w:r w:rsidRPr="00452649">
        <w:rPr>
          <w:rStyle w:val="FootnoteReference"/>
          <w:rFonts w:ascii="Georgia" w:hAnsi="Georgia"/>
          <w:sz w:val="18"/>
          <w:szCs w:val="18"/>
        </w:rPr>
        <w:footnoteRef/>
      </w:r>
      <w:r w:rsidRPr="00452649">
        <w:rPr>
          <w:rFonts w:ascii="Georgia" w:hAnsi="Georgia"/>
          <w:sz w:val="18"/>
          <w:szCs w:val="18"/>
          <w:lang w:val="ru-RU"/>
        </w:rPr>
        <w:t xml:space="preserve"> </w:t>
      </w:r>
      <w:r w:rsidRPr="00452649">
        <w:rPr>
          <w:rFonts w:ascii="Georgia" w:hAnsi="Georgia"/>
          <w:sz w:val="18"/>
          <w:szCs w:val="18"/>
          <w:lang w:val="bg-BG"/>
        </w:rPr>
        <w:t>Това са само примерни източници на информация за нуждите на процеса на верификация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532" w:rsidRPr="00775165" w:rsidRDefault="00E92532" w:rsidP="00E92532">
    <w:pPr>
      <w:pStyle w:val="Header"/>
      <w:tabs>
        <w:tab w:val="center" w:pos="4421"/>
        <w:tab w:val="left" w:pos="7725"/>
      </w:tabs>
      <w:ind w:firstLine="1416"/>
      <w:rPr>
        <w:rFonts w:ascii="Verdana" w:hAnsi="Verdana"/>
        <w:b/>
        <w:caps/>
        <w:sz w:val="20"/>
        <w:szCs w:val="20"/>
      </w:rPr>
    </w:pPr>
    <w:r>
      <w:rPr>
        <w:rFonts w:ascii="Verdana" w:hAnsi="Verdana"/>
        <w:b/>
        <w:caps/>
        <w:noProof/>
        <w:sz w:val="20"/>
        <w:szCs w:val="20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-306705</wp:posOffset>
          </wp:positionV>
          <wp:extent cx="1283970" cy="914400"/>
          <wp:effectExtent l="19050" t="0" r="0" b="0"/>
          <wp:wrapNone/>
          <wp:docPr id="1" name="Picture 1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whi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7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caps/>
        <w:noProof/>
        <w:sz w:val="20"/>
        <w:szCs w:val="20"/>
        <w:lang w:val="bg-BG" w:eastAsia="bg-BG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5353078</wp:posOffset>
          </wp:positionH>
          <wp:positionV relativeFrom="paragraph">
            <wp:posOffset>-306457</wp:posOffset>
          </wp:positionV>
          <wp:extent cx="1124032" cy="954157"/>
          <wp:effectExtent l="19050" t="0" r="0" b="0"/>
          <wp:wrapNone/>
          <wp:docPr id="2" name="Picture 2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HRD-center-grayscal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032" cy="9541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5165">
      <w:rPr>
        <w:rFonts w:ascii="Verdana" w:hAnsi="Verdana"/>
        <w:b/>
        <w:caps/>
        <w:sz w:val="20"/>
        <w:szCs w:val="20"/>
      </w:rPr>
      <w:t>Министерство на труда и социалната политика</w:t>
    </w:r>
    <w:r>
      <w:rPr>
        <w:rFonts w:ascii="Verdana" w:hAnsi="Verdana"/>
        <w:b/>
        <w:caps/>
        <w:sz w:val="20"/>
        <w:szCs w:val="20"/>
      </w:rPr>
      <w:tab/>
    </w:r>
  </w:p>
  <w:p w:rsidR="00E92532" w:rsidRPr="00775165" w:rsidRDefault="00E92532" w:rsidP="00E92532">
    <w:pPr>
      <w:pStyle w:val="Footer"/>
      <w:ind w:right="360"/>
      <w:rPr>
        <w:rFonts w:ascii="Verdana" w:hAnsi="Verdana"/>
        <w:b/>
        <w:bCs/>
        <w:iCs/>
        <w:smallCaps/>
        <w:color w:val="000000"/>
        <w:sz w:val="20"/>
        <w:szCs w:val="20"/>
      </w:rPr>
    </w:pPr>
    <w:r>
      <w:rPr>
        <w:rFonts w:ascii="Verdana" w:hAnsi="Verdana"/>
        <w:b/>
        <w:bCs/>
        <w:iCs/>
        <w:smallCaps/>
        <w:color w:val="000000"/>
        <w:sz w:val="20"/>
        <w:szCs w:val="20"/>
      </w:rPr>
      <w:tab/>
    </w:r>
    <w:r w:rsidRPr="00775165">
      <w:rPr>
        <w:rFonts w:ascii="Verdana" w:hAnsi="Verdana"/>
        <w:b/>
        <w:bCs/>
        <w:iCs/>
        <w:smallCaps/>
        <w:color w:val="000000"/>
        <w:sz w:val="20"/>
        <w:szCs w:val="20"/>
      </w:rPr>
      <w:t>Оперативна програма</w:t>
    </w:r>
  </w:p>
  <w:p w:rsidR="00E92532" w:rsidRPr="00775165" w:rsidRDefault="00E92532" w:rsidP="00E92532">
    <w:pPr>
      <w:pStyle w:val="Footer"/>
      <w:ind w:right="360"/>
      <w:rPr>
        <w:b/>
        <w:sz w:val="20"/>
        <w:szCs w:val="20"/>
      </w:rPr>
    </w:pPr>
    <w:r>
      <w:rPr>
        <w:rFonts w:ascii="Verdana" w:hAnsi="Verdana"/>
        <w:b/>
        <w:bCs/>
        <w:iCs/>
        <w:smallCaps/>
        <w:color w:val="000000"/>
        <w:sz w:val="20"/>
        <w:szCs w:val="20"/>
      </w:rPr>
      <w:tab/>
    </w:r>
    <w:r w:rsidRPr="00775165">
      <w:rPr>
        <w:rFonts w:ascii="Verdana" w:hAnsi="Verdana"/>
        <w:b/>
        <w:bCs/>
        <w:iCs/>
        <w:smallCaps/>
        <w:color w:val="000000"/>
        <w:sz w:val="20"/>
        <w:szCs w:val="20"/>
      </w:rPr>
      <w:t>„Развитие на човешките ресурси” 2014-2020</w:t>
    </w:r>
  </w:p>
  <w:p w:rsidR="00E92532" w:rsidRDefault="00E92532">
    <w:pPr>
      <w:pStyle w:val="Header"/>
    </w:pPr>
  </w:p>
  <w:p w:rsidR="00E92532" w:rsidRDefault="00E92532">
    <w:pPr>
      <w:pStyle w:val="Header"/>
    </w:pPr>
  </w:p>
  <w:p w:rsidR="009C61BC" w:rsidRPr="00AE0809" w:rsidRDefault="00E92532" w:rsidP="00A37316">
    <w:pPr>
      <w:pStyle w:val="Header"/>
      <w:rPr>
        <w:b/>
        <w:lang w:val="bg-BG"/>
      </w:rPr>
    </w:pPr>
    <w:r>
      <w:tab/>
    </w:r>
    <w:r w:rsidR="00AE0809">
      <w:rPr>
        <w:lang w:val="bg-BG"/>
      </w:rPr>
      <w:tab/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4EA"/>
    <w:multiLevelType w:val="multilevel"/>
    <w:tmpl w:val="911C7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</w:rPr>
    </w:lvl>
  </w:abstractNum>
  <w:abstractNum w:abstractNumId="1">
    <w:nsid w:val="30C93FB6"/>
    <w:multiLevelType w:val="hybridMultilevel"/>
    <w:tmpl w:val="C6B495FE"/>
    <w:lvl w:ilvl="0" w:tplc="41D4C6C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eorgia" w:eastAsia="Times New Roman" w:hAnsi="Georgia" w:cs="Times New Roman" w:hint="default"/>
      </w:rPr>
    </w:lvl>
    <w:lvl w:ilvl="1" w:tplc="157221BA">
      <w:start w:val="1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Georgia" w:eastAsia="Rod" w:hAnsi="Georgia" w:cs="Rod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D1266E"/>
    <w:multiLevelType w:val="hybridMultilevel"/>
    <w:tmpl w:val="1B8E68C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64776"/>
    <w:multiLevelType w:val="hybridMultilevel"/>
    <w:tmpl w:val="8EA26B3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21846"/>
    <w:multiLevelType w:val="hybridMultilevel"/>
    <w:tmpl w:val="B6405F9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51AD0"/>
    <w:multiLevelType w:val="multilevel"/>
    <w:tmpl w:val="911C7A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</w:rPr>
    </w:lvl>
  </w:abstractNum>
  <w:abstractNum w:abstractNumId="6">
    <w:nsid w:val="4FE018A2"/>
    <w:multiLevelType w:val="hybridMultilevel"/>
    <w:tmpl w:val="F40E4110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>
    <w:nsid w:val="562E5819"/>
    <w:multiLevelType w:val="hybridMultilevel"/>
    <w:tmpl w:val="05B43AD6"/>
    <w:lvl w:ilvl="0" w:tplc="41D4C6C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eorgia" w:eastAsia="Times New Roman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C5201C"/>
    <w:multiLevelType w:val="hybridMultilevel"/>
    <w:tmpl w:val="720E0D16"/>
    <w:lvl w:ilvl="0" w:tplc="F330327E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9">
    <w:nsid w:val="714818CA"/>
    <w:multiLevelType w:val="hybridMultilevel"/>
    <w:tmpl w:val="478C14A8"/>
    <w:lvl w:ilvl="0" w:tplc="157221BA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eorgia" w:eastAsia="Rod" w:hAnsi="Georgia" w:cs="Ro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9E3381"/>
    <w:multiLevelType w:val="hybridMultilevel"/>
    <w:tmpl w:val="8716E384"/>
    <w:lvl w:ilvl="0" w:tplc="0402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lia Stoyanovich">
    <w15:presenceInfo w15:providerId="Windows Live" w15:userId="54ac65a5d4eba6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0D"/>
    <w:rsid w:val="00022F83"/>
    <w:rsid w:val="00080524"/>
    <w:rsid w:val="000C001B"/>
    <w:rsid w:val="000D5822"/>
    <w:rsid w:val="00104E6D"/>
    <w:rsid w:val="00105821"/>
    <w:rsid w:val="001661B6"/>
    <w:rsid w:val="00172B62"/>
    <w:rsid w:val="00192FAA"/>
    <w:rsid w:val="001A0EBF"/>
    <w:rsid w:val="001B1E11"/>
    <w:rsid w:val="001F501C"/>
    <w:rsid w:val="00212A51"/>
    <w:rsid w:val="00251D92"/>
    <w:rsid w:val="00291FB8"/>
    <w:rsid w:val="002D425B"/>
    <w:rsid w:val="002D6001"/>
    <w:rsid w:val="0030778B"/>
    <w:rsid w:val="00311206"/>
    <w:rsid w:val="00317B23"/>
    <w:rsid w:val="00320B5D"/>
    <w:rsid w:val="00340068"/>
    <w:rsid w:val="00376ACF"/>
    <w:rsid w:val="003B78AA"/>
    <w:rsid w:val="003E368C"/>
    <w:rsid w:val="0040463D"/>
    <w:rsid w:val="004B5DF0"/>
    <w:rsid w:val="004F7652"/>
    <w:rsid w:val="00531EF3"/>
    <w:rsid w:val="005421FE"/>
    <w:rsid w:val="00553B0D"/>
    <w:rsid w:val="0056795E"/>
    <w:rsid w:val="00587221"/>
    <w:rsid w:val="005B6893"/>
    <w:rsid w:val="005B7DE1"/>
    <w:rsid w:val="005C18F9"/>
    <w:rsid w:val="005E5DD1"/>
    <w:rsid w:val="00603FBD"/>
    <w:rsid w:val="00650C51"/>
    <w:rsid w:val="006701A2"/>
    <w:rsid w:val="006A1501"/>
    <w:rsid w:val="006B660C"/>
    <w:rsid w:val="006E72B0"/>
    <w:rsid w:val="00701C6B"/>
    <w:rsid w:val="007152DD"/>
    <w:rsid w:val="0071586D"/>
    <w:rsid w:val="00743D51"/>
    <w:rsid w:val="007456BB"/>
    <w:rsid w:val="00752779"/>
    <w:rsid w:val="00756B1C"/>
    <w:rsid w:val="007830B5"/>
    <w:rsid w:val="00796A33"/>
    <w:rsid w:val="00814752"/>
    <w:rsid w:val="0082117F"/>
    <w:rsid w:val="00821661"/>
    <w:rsid w:val="00850A49"/>
    <w:rsid w:val="008A5FBD"/>
    <w:rsid w:val="008E3E0D"/>
    <w:rsid w:val="009B3888"/>
    <w:rsid w:val="009C61BC"/>
    <w:rsid w:val="00A10C34"/>
    <w:rsid w:val="00A37316"/>
    <w:rsid w:val="00A53416"/>
    <w:rsid w:val="00A970CE"/>
    <w:rsid w:val="00AC0750"/>
    <w:rsid w:val="00AE0809"/>
    <w:rsid w:val="00AE622F"/>
    <w:rsid w:val="00AF5915"/>
    <w:rsid w:val="00AF677C"/>
    <w:rsid w:val="00B0207A"/>
    <w:rsid w:val="00B02A3A"/>
    <w:rsid w:val="00B372B1"/>
    <w:rsid w:val="00B41702"/>
    <w:rsid w:val="00B61088"/>
    <w:rsid w:val="00C30B7B"/>
    <w:rsid w:val="00C55DC9"/>
    <w:rsid w:val="00CB1D55"/>
    <w:rsid w:val="00D00783"/>
    <w:rsid w:val="00D140DC"/>
    <w:rsid w:val="00D3266B"/>
    <w:rsid w:val="00D34532"/>
    <w:rsid w:val="00D45542"/>
    <w:rsid w:val="00D530BC"/>
    <w:rsid w:val="00D7208F"/>
    <w:rsid w:val="00D976D3"/>
    <w:rsid w:val="00DE1637"/>
    <w:rsid w:val="00E578C5"/>
    <w:rsid w:val="00E60DC1"/>
    <w:rsid w:val="00E92532"/>
    <w:rsid w:val="00E93556"/>
    <w:rsid w:val="00EE2358"/>
    <w:rsid w:val="00EE5AA9"/>
    <w:rsid w:val="00F11001"/>
    <w:rsid w:val="00F111EB"/>
    <w:rsid w:val="00F25543"/>
    <w:rsid w:val="00F350B9"/>
    <w:rsid w:val="00F458FF"/>
    <w:rsid w:val="00FD735D"/>
    <w:rsid w:val="00FE1D47"/>
    <w:rsid w:val="00FF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553B0D"/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B0D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553B0D"/>
    <w:pPr>
      <w:ind w:left="720"/>
      <w:contextualSpacing/>
    </w:pPr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53B0D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3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53B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53B0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semiHidden/>
    <w:rsid w:val="00553B0D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F111EB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9253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9253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nhideWhenUsed/>
    <w:rsid w:val="00E9253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E9253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893"/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89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3E3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553B0D"/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B0D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553B0D"/>
    <w:pPr>
      <w:ind w:left="720"/>
      <w:contextualSpacing/>
    </w:pPr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53B0D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B0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3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53B0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53B0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semiHidden/>
    <w:rsid w:val="00553B0D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F111EB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E9253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E9253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nhideWhenUsed/>
    <w:rsid w:val="00E9253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E9253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893"/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89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3E3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vasenov</dc:creator>
  <cp:keywords/>
  <dc:description/>
  <cp:lastModifiedBy>Maria Zhelezarova</cp:lastModifiedBy>
  <cp:revision>6</cp:revision>
  <dcterms:created xsi:type="dcterms:W3CDTF">2016-12-06T14:11:00Z</dcterms:created>
  <dcterms:modified xsi:type="dcterms:W3CDTF">2016-12-12T09:30:00Z</dcterms:modified>
</cp:coreProperties>
</file>