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9232E" w14:textId="77777777" w:rsidR="00827227" w:rsidRDefault="00827227" w:rsidP="00827227">
      <w:pPr>
        <w:rPr>
          <w:rFonts w:ascii="Times New Roman" w:eastAsia="Times New Roman" w:hAnsi="Times New Roman" w:cs="Times New Roman"/>
          <w:sz w:val="24"/>
          <w:szCs w:val="24"/>
          <w:lang w:eastAsia="fr-FR"/>
        </w:rPr>
      </w:pPr>
    </w:p>
    <w:p w14:paraId="33E7795F"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52280D4C" w14:textId="77777777" w:rsidR="00C25F37" w:rsidRPr="00DA1B69" w:rsidRDefault="00C25F37" w:rsidP="000E1842">
      <w:pPr>
        <w:jc w:val="center"/>
        <w:rPr>
          <w:rFonts w:ascii="Times New Roman" w:hAnsi="Times New Roman" w:cs="Times New Roman"/>
          <w:sz w:val="24"/>
          <w:szCs w:val="24"/>
        </w:rPr>
      </w:pPr>
    </w:p>
    <w:p w14:paraId="65930A01" w14:textId="77777777" w:rsidR="00C25F37" w:rsidRPr="00DA1B69" w:rsidRDefault="00C25F37" w:rsidP="000E1842">
      <w:pPr>
        <w:jc w:val="center"/>
        <w:rPr>
          <w:rFonts w:ascii="Times New Roman" w:hAnsi="Times New Roman" w:cs="Times New Roman"/>
          <w:sz w:val="24"/>
          <w:szCs w:val="24"/>
        </w:rPr>
      </w:pPr>
    </w:p>
    <w:p w14:paraId="54F3A9B2"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2C1E9A2"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042CA8C6" w14:textId="77777777" w:rsidR="00C25F37" w:rsidRDefault="00C25F37" w:rsidP="00C25F37">
      <w:pPr>
        <w:jc w:val="center"/>
        <w:rPr>
          <w:rFonts w:ascii="Times New Roman" w:hAnsi="Times New Roman" w:cs="Times New Roman"/>
          <w:sz w:val="28"/>
          <w:szCs w:val="28"/>
        </w:rPr>
      </w:pPr>
    </w:p>
    <w:p w14:paraId="40535AE5" w14:textId="77777777" w:rsidR="00C25F37" w:rsidRPr="003157CF" w:rsidRDefault="00C25F37" w:rsidP="00C25F37">
      <w:pPr>
        <w:jc w:val="center"/>
        <w:rPr>
          <w:rFonts w:ascii="Times New Roman" w:hAnsi="Times New Roman" w:cs="Times New Roman"/>
          <w:sz w:val="28"/>
          <w:szCs w:val="28"/>
        </w:rPr>
      </w:pPr>
    </w:p>
    <w:p w14:paraId="58D2C80D"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295171CB" w14:textId="7D3C4502" w:rsidR="00C25F37" w:rsidRPr="00E22B5D" w:rsidRDefault="00E22B5D" w:rsidP="00C25F37">
      <w:pPr>
        <w:spacing w:after="360"/>
        <w:jc w:val="center"/>
        <w:rPr>
          <w:rFonts w:ascii="Times New Roman" w:hAnsi="Times New Roman" w:cs="Times New Roman"/>
          <w:b/>
          <w:color w:val="000000"/>
          <w:spacing w:val="1"/>
          <w:sz w:val="28"/>
          <w:szCs w:val="28"/>
        </w:rPr>
      </w:pPr>
      <w:r w:rsidRPr="00E22B5D">
        <w:rPr>
          <w:rFonts w:asciiTheme="majorBidi" w:hAnsiTheme="majorBidi" w:cstheme="majorBidi"/>
          <w:b/>
          <w:sz w:val="28"/>
          <w:szCs w:val="28"/>
        </w:rPr>
        <w:t>BG05M9OP001-2.114 МИГ "Струма - Симитли, Кресна и Струмяни" мярка 2.4.Развитие на социалното предприемачество</w:t>
      </w:r>
    </w:p>
    <w:tbl>
      <w:tblPr>
        <w:tblStyle w:val="TableGrid"/>
        <w:tblW w:w="0" w:type="auto"/>
        <w:tblLook w:val="04A0" w:firstRow="1" w:lastRow="0" w:firstColumn="1" w:lastColumn="0" w:noHBand="0" w:noVBand="1"/>
      </w:tblPr>
      <w:tblGrid>
        <w:gridCol w:w="4606"/>
        <w:gridCol w:w="4606"/>
      </w:tblGrid>
      <w:tr w:rsidR="00C25F37" w14:paraId="207D6AEA" w14:textId="77777777" w:rsidTr="0075745F">
        <w:trPr>
          <w:trHeight w:val="428"/>
        </w:trPr>
        <w:tc>
          <w:tcPr>
            <w:tcW w:w="4606" w:type="dxa"/>
            <w:vAlign w:val="center"/>
          </w:tcPr>
          <w:p w14:paraId="34872EC5" w14:textId="77777777" w:rsidR="00C25F37" w:rsidRPr="00BF238E" w:rsidRDefault="00C25F37" w:rsidP="0075745F">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411A13FB" w14:textId="77777777" w:rsidR="00C25F37" w:rsidRPr="00BF238E" w:rsidRDefault="00C25F37" w:rsidP="0075745F">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067B479C" w14:textId="77777777" w:rsidR="00C25F37" w:rsidRDefault="00C25F37" w:rsidP="000E1842">
      <w:pPr>
        <w:jc w:val="center"/>
        <w:rPr>
          <w:rFonts w:ascii="Times New Roman" w:hAnsi="Times New Roman" w:cs="Times New Roman"/>
          <w:sz w:val="24"/>
          <w:szCs w:val="24"/>
          <w:lang w:val="en-US"/>
        </w:rPr>
      </w:pPr>
    </w:p>
    <w:p w14:paraId="4276F2C7" w14:textId="77777777" w:rsidR="00C25F37" w:rsidRDefault="00C25F37" w:rsidP="000E1842">
      <w:pPr>
        <w:jc w:val="center"/>
        <w:rPr>
          <w:rFonts w:ascii="Times New Roman" w:hAnsi="Times New Roman" w:cs="Times New Roman"/>
          <w:sz w:val="24"/>
          <w:szCs w:val="24"/>
          <w:lang w:val="en-US"/>
        </w:rPr>
      </w:pPr>
    </w:p>
    <w:p w14:paraId="684CA497" w14:textId="77777777" w:rsidR="00C25F37" w:rsidRDefault="00C25F37" w:rsidP="000E1842">
      <w:pPr>
        <w:jc w:val="center"/>
        <w:rPr>
          <w:rFonts w:ascii="Times New Roman" w:hAnsi="Times New Roman" w:cs="Times New Roman"/>
          <w:sz w:val="24"/>
          <w:szCs w:val="24"/>
          <w:lang w:val="en-US"/>
        </w:rPr>
      </w:pPr>
    </w:p>
    <w:p w14:paraId="5F532F10" w14:textId="77777777" w:rsidR="00C25F37" w:rsidRDefault="00C25F37" w:rsidP="000E1842">
      <w:pPr>
        <w:jc w:val="center"/>
        <w:rPr>
          <w:rFonts w:ascii="Times New Roman" w:hAnsi="Times New Roman" w:cs="Times New Roman"/>
          <w:sz w:val="24"/>
          <w:szCs w:val="24"/>
          <w:lang w:val="en-US"/>
        </w:rPr>
      </w:pPr>
    </w:p>
    <w:p w14:paraId="15415C78" w14:textId="77777777" w:rsidR="00C25F37" w:rsidRDefault="00C25F37" w:rsidP="000E1842">
      <w:pPr>
        <w:jc w:val="center"/>
        <w:rPr>
          <w:rFonts w:ascii="Times New Roman" w:hAnsi="Times New Roman" w:cs="Times New Roman"/>
          <w:sz w:val="24"/>
          <w:szCs w:val="24"/>
          <w:lang w:val="en-US"/>
        </w:rPr>
      </w:pPr>
    </w:p>
    <w:p w14:paraId="07853167" w14:textId="77777777" w:rsidR="00C25F37" w:rsidRDefault="00C25F37" w:rsidP="000E1842">
      <w:pPr>
        <w:jc w:val="center"/>
        <w:rPr>
          <w:rFonts w:ascii="Times New Roman" w:hAnsi="Times New Roman" w:cs="Times New Roman"/>
          <w:sz w:val="24"/>
          <w:szCs w:val="24"/>
          <w:lang w:val="en-US"/>
        </w:rPr>
      </w:pPr>
    </w:p>
    <w:p w14:paraId="1BC4ECAD" w14:textId="77777777" w:rsidR="009A7C1B" w:rsidRPr="00EF440B" w:rsidRDefault="00B95BED" w:rsidP="00B94C19">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6CB85B6C"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77982F5F"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245E5A81" w14:textId="77777777" w:rsidR="009A7C1B" w:rsidRPr="00EF440B"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52C2DE9A" w14:textId="77777777" w:rsidR="00DE6E51" w:rsidRDefault="00C25F37"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8E2AEB0" w14:textId="77777777" w:rsidR="00DE6E51" w:rsidRDefault="00C25F37" w:rsidP="007818AA">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4B544943" w14:textId="77777777" w:rsidR="009A7C1B" w:rsidRDefault="009A7C1B" w:rsidP="007818AA">
      <w:pPr>
        <w:pStyle w:val="ListParagraph"/>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7B8B796F" w14:textId="77777777" w:rsidR="00B95BED" w:rsidRDefault="002D44BD" w:rsidP="00BC1E0C">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30BE9F52" w14:textId="77777777" w:rsidR="00C25F37" w:rsidRDefault="00C25F37" w:rsidP="00BC1E0C">
      <w:pPr>
        <w:pStyle w:val="ListParagraph"/>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BF2DA58"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4EAF155E" w14:textId="77777777" w:rsidR="00B94C19" w:rsidRDefault="0075745F" w:rsidP="00B94C19">
      <w:pPr>
        <w:pStyle w:val="ListParagraph"/>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МИГ „Струма - Симитли, Кресна и Струмяни”, БУЛСТАТ: 177130915, със седалище и адрес на управление: гр. Симитли, ул. „Христо Ботев” № 27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Димитринка Б</w:t>
      </w:r>
      <w:r w:rsidR="00DD19B2">
        <w:rPr>
          <w:rFonts w:ascii="Times New Roman" w:eastAsia="Times New Roman" w:hAnsi="Times New Roman" w:cs="Times New Roman"/>
          <w:sz w:val="24"/>
          <w:szCs w:val="24"/>
          <w:lang w:eastAsia="fr-FR"/>
        </w:rPr>
        <w:t xml:space="preserve">айракова - </w:t>
      </w:r>
      <w:r w:rsidR="00B94C19" w:rsidRPr="00EF440B">
        <w:rPr>
          <w:rFonts w:ascii="Times New Roman" w:eastAsia="Times New Roman" w:hAnsi="Times New Roman" w:cs="Times New Roman"/>
          <w:sz w:val="24"/>
          <w:szCs w:val="24"/>
          <w:lang w:eastAsia="fr-FR"/>
        </w:rPr>
        <w:t xml:space="preserve">в качеството на </w:t>
      </w:r>
      <w:r w:rsidR="00A379FA">
        <w:rPr>
          <w:rFonts w:ascii="Times New Roman" w:eastAsia="Times New Roman" w:hAnsi="Times New Roman" w:cs="Times New Roman"/>
          <w:sz w:val="24"/>
          <w:szCs w:val="24"/>
          <w:lang w:eastAsia="fr-FR"/>
        </w:rPr>
        <w:t>лице представляващо</w:t>
      </w:r>
      <w:r w:rsidR="00B94C19">
        <w:rPr>
          <w:rFonts w:ascii="Times New Roman" w:eastAsia="Times New Roman" w:hAnsi="Times New Roman" w:cs="Times New Roman"/>
          <w:sz w:val="24"/>
          <w:szCs w:val="24"/>
          <w:lang w:eastAsia="fr-FR"/>
        </w:rPr>
        <w:t xml:space="preserve"> МИГ</w:t>
      </w:r>
      <w:r w:rsidR="00DD19B2">
        <w:rPr>
          <w:rFonts w:ascii="Times New Roman" w:eastAsia="Times New Roman" w:hAnsi="Times New Roman" w:cs="Times New Roman"/>
          <w:sz w:val="24"/>
          <w:szCs w:val="24"/>
          <w:lang w:eastAsia="fr-FR"/>
        </w:rPr>
        <w:t xml:space="preserve"> „Струма - Симитли, Кресна и Струмяни”,</w:t>
      </w:r>
    </w:p>
    <w:p w14:paraId="2DD3A837" w14:textId="77777777" w:rsidR="00B94C19" w:rsidRDefault="00B94C19" w:rsidP="00B94C19">
      <w:pPr>
        <w:pStyle w:val="ListParagraph"/>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2BE9237E"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2A0366A0" w14:textId="77777777" w:rsidR="00082379" w:rsidRPr="007818AA" w:rsidRDefault="009A7C1B" w:rsidP="007818AA">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5F84D766" w14:textId="77777777" w:rsidR="00C61651" w:rsidRPr="00DE6E51" w:rsidRDefault="009A7C1B" w:rsidP="007818AA">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064844A4"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1D7E003A" w14:textId="77777777"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05DB70D7" w14:textId="77777777" w:rsidR="00C61651" w:rsidRPr="007818AA" w:rsidRDefault="00C61651" w:rsidP="007818AA">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4E848B52" w14:textId="77777777" w:rsidR="00C61651" w:rsidRPr="006E2D28" w:rsidRDefault="00C61651" w:rsidP="007818AA">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664AF396" w14:textId="77777777"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FootnoteReference"/>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646FB182"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2BF9B7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25F8B340" w14:textId="77777777"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51016847" w14:textId="27B5E99A" w:rsidR="009C4CB8" w:rsidRPr="00EF440B" w:rsidRDefault="002C5E60" w:rsidP="00614A0E">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FB57F4" w:rsidRPr="00FB57F4">
        <w:rPr>
          <w:rFonts w:ascii="Times New Roman" w:eastAsia="Times New Roman" w:hAnsi="Times New Roman" w:cs="Times New Roman"/>
          <w:sz w:val="24"/>
          <w:szCs w:val="24"/>
          <w:lang w:val="en-US" w:eastAsia="fr-FR"/>
        </w:rPr>
        <w:t>BG</w:t>
      </w:r>
      <w:r w:rsidR="00FB57F4" w:rsidRPr="00347FE1">
        <w:rPr>
          <w:rFonts w:ascii="Times New Roman" w:eastAsia="Times New Roman" w:hAnsi="Times New Roman" w:cs="Times New Roman"/>
          <w:sz w:val="24"/>
          <w:szCs w:val="24"/>
          <w:lang w:eastAsia="fr-FR"/>
        </w:rPr>
        <w:t>05</w:t>
      </w:r>
      <w:r w:rsidR="00FB57F4" w:rsidRPr="00FB57F4">
        <w:rPr>
          <w:rFonts w:ascii="Times New Roman" w:eastAsia="Times New Roman" w:hAnsi="Times New Roman" w:cs="Times New Roman"/>
          <w:sz w:val="24"/>
          <w:szCs w:val="24"/>
          <w:lang w:val="en-US" w:eastAsia="fr-FR"/>
        </w:rPr>
        <w:t>M</w:t>
      </w:r>
      <w:r w:rsidR="00FB57F4" w:rsidRPr="00347FE1">
        <w:rPr>
          <w:rFonts w:ascii="Times New Roman" w:eastAsia="Times New Roman" w:hAnsi="Times New Roman" w:cs="Times New Roman"/>
          <w:sz w:val="24"/>
          <w:szCs w:val="24"/>
          <w:lang w:eastAsia="fr-FR"/>
        </w:rPr>
        <w:t>9</w:t>
      </w:r>
      <w:r w:rsidR="00FB57F4" w:rsidRPr="00FB57F4">
        <w:rPr>
          <w:rFonts w:ascii="Times New Roman" w:eastAsia="Times New Roman" w:hAnsi="Times New Roman" w:cs="Times New Roman"/>
          <w:sz w:val="24"/>
          <w:szCs w:val="24"/>
          <w:lang w:val="en-US" w:eastAsia="fr-FR"/>
        </w:rPr>
        <w:t>OP</w:t>
      </w:r>
      <w:r w:rsidR="00FB57F4" w:rsidRPr="00347FE1">
        <w:rPr>
          <w:rFonts w:ascii="Times New Roman" w:eastAsia="Times New Roman" w:hAnsi="Times New Roman" w:cs="Times New Roman"/>
          <w:sz w:val="24"/>
          <w:szCs w:val="24"/>
          <w:lang w:eastAsia="fr-FR"/>
        </w:rPr>
        <w:t>001-2.114</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1F51E6" w:rsidRPr="00AC2470">
        <w:rPr>
          <w:rFonts w:ascii="Times New Roman" w:hAnsi="Times New Roman" w:cs="Times New Roman"/>
          <w:bCs/>
          <w:sz w:val="24"/>
          <w:szCs w:val="24"/>
        </w:rPr>
        <w:t xml:space="preserve"> </w:t>
      </w:r>
      <w:r w:rsidR="001F51E6">
        <w:rPr>
          <w:rFonts w:ascii="Times New Roman" w:hAnsi="Times New Roman" w:cs="Times New Roman"/>
          <w:bCs/>
          <w:sz w:val="24"/>
          <w:szCs w:val="24"/>
        </w:rPr>
        <w:t xml:space="preserve">процедури </w:t>
      </w:r>
      <w:r w:rsidR="001F51E6">
        <w:rPr>
          <w:rFonts w:ascii="Times New Roman" w:eastAsia="Times New Roman" w:hAnsi="Times New Roman" w:cs="Times New Roman"/>
          <w:sz w:val="24"/>
          <w:szCs w:val="24"/>
        </w:rPr>
        <w:t xml:space="preserve">по ВОМР с финансовата подкрепа на ОП РЧР 2014-2020, </w:t>
      </w:r>
      <w:r w:rsidR="001F51E6">
        <w:rPr>
          <w:rFonts w:ascii="Times New Roman" w:eastAsia="Times New Roman" w:hAnsi="Times New Roman" w:cs="Times New Roman"/>
          <w:sz w:val="24"/>
          <w:szCs w:val="24"/>
          <w:lang w:eastAsia="fr-FR"/>
        </w:rPr>
        <w:t xml:space="preserve">при спазване на всички изисквания на </w:t>
      </w:r>
      <w:r w:rsidR="001F51E6">
        <w:rPr>
          <w:rFonts w:ascii="Times New Roman" w:eastAsia="Times New Roman" w:hAnsi="Times New Roman" w:cs="Times New Roman"/>
          <w:sz w:val="24"/>
          <w:szCs w:val="24"/>
        </w:rPr>
        <w:t>Регламент (ЕС) № 1407/2013,</w:t>
      </w:r>
      <w:r w:rsidR="001F51E6">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3E0A5751" w14:textId="77777777" w:rsidR="00A46088" w:rsidRPr="00B94C19" w:rsidRDefault="00697D0C" w:rsidP="00AA14F1">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2DC48B01"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68157143"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19A7179F"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3A41E10A"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0C6311E8"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FB29984" w14:textId="06547A4D"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w:t>
      </w:r>
      <w:r w:rsidR="008703F0">
        <w:rPr>
          <w:rFonts w:ascii="Times New Roman" w:hAnsi="Times New Roman" w:cs="Times New Roman"/>
          <w:sz w:val="24"/>
          <w:szCs w:val="24"/>
        </w:rPr>
        <w:t>10</w:t>
      </w:r>
      <w:r w:rsidR="00AF46DB" w:rsidRPr="00AF46DB">
        <w:rPr>
          <w:rFonts w:ascii="Times New Roman" w:hAnsi="Times New Roman" w:cs="Times New Roman"/>
          <w:sz w:val="24"/>
          <w:szCs w:val="24"/>
        </w:rPr>
        <w:t xml:space="preserve"> % (посочва се допустимия размер съобразно всяка схема) от размера на </w:t>
      </w:r>
      <w:r w:rsidR="00FB57F4">
        <w:rPr>
          <w:rFonts w:ascii="Times New Roman" w:hAnsi="Times New Roman" w:cs="Times New Roman"/>
          <w:sz w:val="24"/>
          <w:szCs w:val="24"/>
        </w:rPr>
        <w:t>общо</w:t>
      </w:r>
      <w:r w:rsidR="00FB57F4" w:rsidRPr="00AF46DB">
        <w:rPr>
          <w:rFonts w:ascii="Times New Roman" w:hAnsi="Times New Roman" w:cs="Times New Roman"/>
          <w:sz w:val="24"/>
          <w:szCs w:val="24"/>
        </w:rPr>
        <w:t xml:space="preserve"> </w:t>
      </w:r>
      <w:r w:rsidR="00AF46DB" w:rsidRPr="00AF46DB">
        <w:rPr>
          <w:rFonts w:ascii="Times New Roman" w:hAnsi="Times New Roman" w:cs="Times New Roman"/>
          <w:sz w:val="24"/>
          <w:szCs w:val="24"/>
        </w:rPr>
        <w:t>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772147">
        <w:rPr>
          <w:rFonts w:ascii="Times New Roman" w:hAnsi="Times New Roman" w:cs="Times New Roman"/>
          <w:sz w:val="24"/>
          <w:szCs w:val="24"/>
        </w:rPr>
        <w:t xml:space="preserve"> </w:t>
      </w:r>
    </w:p>
    <w:p w14:paraId="11B84B8D"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lastRenderedPageBreak/>
        <w:t>Техническо и финансово отчитане и плащания</w:t>
      </w:r>
    </w:p>
    <w:p w14:paraId="66371798" w14:textId="77777777"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6A9104F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5878ADBB"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p>
    <w:p w14:paraId="28ADC0A4"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7B922DB0" w14:textId="5AB95E18" w:rsidR="00533E8C" w:rsidRPr="00004B5D" w:rsidRDefault="00584C6B" w:rsidP="0070484C">
      <w:pPr>
        <w:tabs>
          <w:tab w:val="left" w:pos="1455"/>
        </w:tabs>
        <w:autoSpaceDE w:val="0"/>
        <w:autoSpaceDN w:val="0"/>
        <w:adjustRightInd w:val="0"/>
        <w:spacing w:after="240" w:line="240" w:lineRule="auto"/>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r w:rsidR="0070484C">
        <w:rPr>
          <w:rFonts w:ascii="Times New Roman" w:eastAsia="Times New Roman" w:hAnsi="Times New Roman" w:cs="Times New Roman"/>
          <w:sz w:val="24"/>
          <w:szCs w:val="24"/>
        </w:rPr>
        <w:tab/>
      </w:r>
    </w:p>
    <w:p w14:paraId="7B34C6F8" w14:textId="77777777" w:rsidR="00D441C1" w:rsidRDefault="00AC2470" w:rsidP="00D441C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D441C1" w:rsidRPr="00D441C1">
        <w:rPr>
          <w:rFonts w:ascii="Times New Roman" w:eastAsia="Times New Roman" w:hAnsi="Times New Roman" w:cs="Times New Roman"/>
          <w:sz w:val="24"/>
          <w:szCs w:val="24"/>
          <w:lang w:eastAsia="bg-BG"/>
        </w:rPr>
        <w:t xml:space="preserve">Управляващият орган извършва авансово плащане в срока по чл. 61, ал. 1 ЗУСЕСИФ, в случай, че авансовото плащане е обезпечено в пълен размер. (Обезпечение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Н-3 от 22.05.2018 г.) и при следните условия </w:t>
      </w:r>
    </w:p>
    <w:p w14:paraId="52C4213D" w14:textId="77777777" w:rsidR="00A8286C" w:rsidRPr="00A8286C" w:rsidRDefault="00AC2470" w:rsidP="00D441C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1776A739" w14:textId="77777777" w:rsidR="00D441C1" w:rsidRPr="00D441C1" w:rsidRDefault="00D441C1" w:rsidP="00D441C1">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D441C1">
        <w:rPr>
          <w:rFonts w:ascii="Times New Roman" w:eastAsia="Times New Roman" w:hAnsi="Times New Roman" w:cs="Times New Roman"/>
          <w:sz w:val="24"/>
          <w:szCs w:val="24"/>
          <w:lang w:eastAsia="bg-BG"/>
        </w:rPr>
        <w:t>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(за общини)</w:t>
      </w:r>
    </w:p>
    <w:p w14:paraId="2B26345C" w14:textId="77777777" w:rsidR="00D441C1" w:rsidRDefault="00D441C1"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D441C1">
        <w:rPr>
          <w:rFonts w:ascii="Times New Roman" w:eastAsia="Times New Roman" w:hAnsi="Times New Roman" w:cs="Times New Roman"/>
          <w:sz w:val="24"/>
          <w:szCs w:val="24"/>
          <w:lang w:eastAsia="bg-BG"/>
        </w:rPr>
        <w:t xml:space="preserve">- </w:t>
      </w:r>
      <w:r w:rsidRPr="00D441C1">
        <w:rPr>
          <w:rFonts w:ascii="Times New Roman" w:eastAsia="Times New Roman" w:hAnsi="Times New Roman" w:cs="Times New Roman"/>
          <w:sz w:val="24"/>
          <w:szCs w:val="24"/>
          <w:lang w:eastAsia="bg-BG"/>
        </w:rPr>
        <w:tab/>
        <w:t>искане за плащане генерирано в ИСУН 2020, придружено с банкова гаранция или „Застраховка на гаранция за авансово плащане“, съгласно Ръководството за бенефициента за изпълнение на договори по процедури по ВОМР с финансовата подкрепа на ОП РЧР 2014-2020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 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В случаите на обезпечение на авансовото плащане с банкова гаранция, тя трябва да бъде безусловна и неотменима в полза на администрацията в чиято структура е Управляващият орган. Същата се освобождава след извършване на финалното плащане по договора, за което Управляващият орган уведомява банката – издател при поискване от страна на бенефициента.</w:t>
      </w:r>
    </w:p>
    <w:p w14:paraId="1D891BA1" w14:textId="77777777"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или</w:t>
      </w:r>
    </w:p>
    <w:p w14:paraId="2FF5C19C" w14:textId="77777777"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2115A83" w14:textId="77777777" w:rsidR="008642D2" w:rsidRDefault="002C688E" w:rsidP="00614A0E">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6ECA0916" w14:textId="77777777"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1F51E6">
        <w:rPr>
          <w:rFonts w:ascii="Times New Roman" w:eastAsia="Times New Roman" w:hAnsi="Times New Roman" w:cs="Times New Roman"/>
          <w:sz w:val="24"/>
          <w:szCs w:val="24"/>
          <w:lang w:eastAsia="bg-BG"/>
        </w:rPr>
        <w:t>22.05.2018 г</w:t>
      </w:r>
      <w:r w:rsidR="00170486">
        <w:rPr>
          <w:rFonts w:ascii="Times New Roman" w:eastAsia="Times New Roman" w:hAnsi="Times New Roman" w:cs="Times New Roman"/>
          <w:sz w:val="24"/>
          <w:szCs w:val="24"/>
          <w:lang w:eastAsia="bg-BG"/>
        </w:rPr>
        <w:t>.</w:t>
      </w:r>
    </w:p>
    <w:p w14:paraId="57CB855B"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5C7E846"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512694B4"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50239DF9"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01703878" w14:textId="7BC29F21"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4933135C" w14:textId="77777777"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40A7458A" w14:textId="77777777"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2D34942E" w14:textId="145BABAB" w:rsidR="000A22EF" w:rsidRPr="00847F42" w:rsidRDefault="000A22EF" w:rsidP="0070484C">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lastRenderedPageBreak/>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55258459"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1B5329CB"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r w:rsidR="00614A0E" w:rsidRPr="00A8286C">
        <w:rPr>
          <w:rFonts w:ascii="Times New Roman" w:eastAsia="Times New Roman" w:hAnsi="Times New Roman" w:cs="Times New Roman"/>
          <w:sz w:val="24"/>
          <w:szCs w:val="24"/>
        </w:rPr>
        <w:t>Микро данни</w:t>
      </w:r>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p>
    <w:p w14:paraId="607713F5" w14:textId="77777777"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w:t>
      </w:r>
      <w:r w:rsidR="001F51E6">
        <w:rPr>
          <w:rFonts w:ascii="Times New Roman" w:eastAsia="Times New Roman" w:hAnsi="Times New Roman" w:cs="Times New Roman"/>
          <w:sz w:val="24"/>
          <w:szCs w:val="24"/>
        </w:rPr>
        <w:t xml:space="preserve"> по</w:t>
      </w:r>
      <w:r w:rsidRPr="00A8286C">
        <w:rPr>
          <w:rFonts w:ascii="Times New Roman" w:eastAsia="Times New Roman" w:hAnsi="Times New Roman" w:cs="Times New Roman"/>
          <w:sz w:val="24"/>
          <w:szCs w:val="24"/>
        </w:rPr>
        <w:t xml:space="preserve">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614A0E">
        <w:rPr>
          <w:rFonts w:ascii="Times New Roman" w:eastAsia="Times New Roman" w:hAnsi="Times New Roman" w:cs="Times New Roman"/>
          <w:sz w:val="24"/>
          <w:szCs w:val="24"/>
        </w:rPr>
        <w:t>.</w:t>
      </w:r>
    </w:p>
    <w:p w14:paraId="53457538"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2AAECFAB"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0F61A34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2FC25BB9"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4E459C20"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5F83623F"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4E5CF6EF"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5F7A05D0" w14:textId="77777777" w:rsidR="00F6265B" w:rsidRPr="006A408A" w:rsidRDefault="00F6265B"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1F51E6">
        <w:rPr>
          <w:rFonts w:ascii="Times New Roman" w:eastAsia="Times New Roman" w:hAnsi="Times New Roman" w:cs="Times New Roman"/>
          <w:sz w:val="24"/>
          <w:szCs w:val="24"/>
        </w:rPr>
        <w:t>22.05.2018 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 xml:space="preserve">осчетоводяване, както и сроковете и правилата за приключване на счетоводната година по </w:t>
      </w:r>
      <w:r w:rsidRPr="006A408A">
        <w:rPr>
          <w:rFonts w:ascii="Times New Roman" w:eastAsia="Times New Roman" w:hAnsi="Times New Roman" w:cs="Times New Roman"/>
          <w:sz w:val="24"/>
          <w:szCs w:val="24"/>
        </w:rPr>
        <w:lastRenderedPageBreak/>
        <w:t>оперативните програми и програмите за европейско териториално сътрудничество.</w:t>
      </w:r>
    </w:p>
    <w:p w14:paraId="673DF858" w14:textId="77777777" w:rsidR="006E1A3A" w:rsidRPr="006A408A" w:rsidRDefault="00C63356"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4F6D2481" w14:textId="77777777" w:rsidR="00A8286C" w:rsidRPr="006A408A" w:rsidRDefault="00A8286C" w:rsidP="006A408A">
      <w:pPr>
        <w:pStyle w:val="ListParagraph"/>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i/>
          <w:sz w:val="24"/>
          <w:szCs w:val="24"/>
        </w:rPr>
        <w:t>.</w:t>
      </w:r>
    </w:p>
    <w:p w14:paraId="291E4F38" w14:textId="77777777" w:rsidR="00A8286C" w:rsidRPr="006A408A" w:rsidRDefault="00A8286C" w:rsidP="006A408A">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0AD1CF78" w14:textId="77777777" w:rsidR="00A8286C" w:rsidRPr="006A408A" w:rsidRDefault="00A8286C" w:rsidP="006A408A">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2E10E3F2" w14:textId="77777777"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w:t>
      </w:r>
      <w:r w:rsidR="00C85812">
        <w:rPr>
          <w:rFonts w:ascii="Times New Roman" w:eastAsia="Times New Roman" w:hAnsi="Times New Roman" w:cs="Times New Roman"/>
          <w:sz w:val="24"/>
          <w:szCs w:val="24"/>
        </w:rPr>
        <w:t xml:space="preserve">по </w:t>
      </w:r>
      <w:r w:rsidR="001F51E6" w:rsidRPr="002D7373">
        <w:rPr>
          <w:rFonts w:ascii="Times New Roman" w:eastAsia="Times New Roman" w:hAnsi="Times New Roman" w:cs="Times New Roman"/>
          <w:sz w:val="24"/>
          <w:szCs w:val="24"/>
        </w:rPr>
        <w:t>процедури по ВОМР с финансовата подкрепа на ОП РЧР 2014-2020</w:t>
      </w:r>
      <w:r w:rsidR="00C85812">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 xml:space="preserve"> 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0E5C1449" w14:textId="48606691" w:rsidR="002E23E7" w:rsidRDefault="00237EE7" w:rsidP="002E23E7">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002E23E7" w:rsidRPr="002E23E7">
        <w:rPr>
          <w:rFonts w:ascii="Times New Roman" w:eastAsia="Times New Roman" w:hAnsi="Times New Roman" w:cs="Times New Roman"/>
          <w:sz w:val="24"/>
          <w:szCs w:val="24"/>
        </w:rPr>
        <w:t xml:space="preserve">Бенефициентът се задължава да запази функционирането на социалното предприятие за 12 месеца, както и заетостта на минимум 50 процента от новоназначените представители на целевата група по бюджетно перо 1. „Разходи за трудови възнаграждения по реда на КТ и възнаграждения по реда на ЗДСл на всяко лице, включено в заетост при работодател - в размер на 100 % от сумата на минималния осигурителен доход за съответната длъжност и всички дължими вноски за сметка на работодателя върху договореното възнаграждение“ за период не по-малко от 6 месеца след приключване на проектните дейности. (периодът се изчислява в човекомесеци). </w:t>
      </w:r>
    </w:p>
    <w:p w14:paraId="7D82F75A" w14:textId="77777777" w:rsidR="002E23E7" w:rsidRPr="002E23E7" w:rsidRDefault="002E23E7" w:rsidP="00347FE1">
      <w:pPr>
        <w:spacing w:after="240" w:line="240" w:lineRule="auto"/>
        <w:ind w:left="567"/>
        <w:jc w:val="both"/>
        <w:rPr>
          <w:rFonts w:ascii="Times New Roman" w:eastAsia="Times New Roman" w:hAnsi="Times New Roman" w:cs="Times New Roman"/>
          <w:sz w:val="24"/>
          <w:szCs w:val="24"/>
        </w:rPr>
      </w:pPr>
      <w:r w:rsidRPr="002E23E7">
        <w:rPr>
          <w:rFonts w:ascii="Times New Roman" w:eastAsia="Times New Roman" w:hAnsi="Times New Roman" w:cs="Times New Roman"/>
          <w:sz w:val="24"/>
          <w:szCs w:val="24"/>
        </w:rPr>
        <w:t>В случай на възникване на непредвидени обстоятелства, възпрепятстващи изпълнението на ангажимента за устойчивост, бенефициентът може да договори с Управляващия орган отсрочване на ангажимента, но в рамките на до 1 година след приключване на проектните дейности.</w:t>
      </w:r>
    </w:p>
    <w:p w14:paraId="245838CC" w14:textId="77777777" w:rsidR="002E23E7" w:rsidRPr="002E23E7" w:rsidRDefault="002E23E7" w:rsidP="00347FE1">
      <w:pPr>
        <w:spacing w:after="240" w:line="240" w:lineRule="auto"/>
        <w:ind w:left="567"/>
        <w:jc w:val="both"/>
        <w:rPr>
          <w:rFonts w:ascii="Times New Roman" w:eastAsia="Times New Roman" w:hAnsi="Times New Roman" w:cs="Times New Roman"/>
          <w:sz w:val="24"/>
          <w:szCs w:val="24"/>
        </w:rPr>
      </w:pPr>
      <w:r w:rsidRPr="002E23E7">
        <w:rPr>
          <w:rFonts w:ascii="Times New Roman" w:eastAsia="Times New Roman" w:hAnsi="Times New Roman" w:cs="Times New Roman"/>
          <w:sz w:val="24"/>
          <w:szCs w:val="24"/>
        </w:rPr>
        <w:t>В случай на неспазване на изискването за устойчивостта УО ще наложи финансова корекция върху стойността на верифицираните разходи по договора, пропорционално по отношение на неизпълнената устойчивост (измерва се в човекомесеци).</w:t>
      </w:r>
    </w:p>
    <w:p w14:paraId="59F755DA" w14:textId="77777777" w:rsidR="002E23E7" w:rsidRDefault="002E23E7" w:rsidP="00347FE1">
      <w:pPr>
        <w:spacing w:after="240" w:line="240" w:lineRule="auto"/>
        <w:ind w:left="567"/>
        <w:jc w:val="both"/>
        <w:rPr>
          <w:rFonts w:ascii="Times New Roman" w:eastAsia="Times New Roman" w:hAnsi="Times New Roman" w:cs="Times New Roman"/>
          <w:sz w:val="24"/>
          <w:szCs w:val="24"/>
        </w:rPr>
      </w:pPr>
      <w:r w:rsidRPr="002E23E7">
        <w:rPr>
          <w:rFonts w:ascii="Times New Roman" w:eastAsia="Times New Roman" w:hAnsi="Times New Roman" w:cs="Times New Roman"/>
          <w:sz w:val="24"/>
          <w:szCs w:val="24"/>
        </w:rPr>
        <w:t>В случай на неспазване на изискването за функциониране на социалното предприятие, бенефициентът се задължава да възстанови  25% от Раздел II „Единна ставка“ за всяко шестмесечие в което предприятието не функционира, считано от приключването на проектните дейности.</w:t>
      </w:r>
    </w:p>
    <w:p w14:paraId="2807259F" w14:textId="77777777" w:rsidR="00237EE7" w:rsidRPr="00DA1B69" w:rsidRDefault="00237EE7" w:rsidP="002E23E7">
      <w:pPr>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53B0055" w14:textId="77777777"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33887FDE"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169E29F6"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4CBC92B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79545F5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34DACB6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8B8E709"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88410D8" w14:textId="77777777"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7D8720BB"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43FFA64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419B1E3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76E28901"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6BAEDC94" w14:textId="77777777"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2E51054A"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7544B488"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67CEBEA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01746F86"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6AE72844"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100A89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514FD5C2"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w:t>
      </w:r>
      <w:r w:rsidRPr="00A516D9">
        <w:rPr>
          <w:rFonts w:ascii="Times New Roman" w:eastAsia="Times New Roman" w:hAnsi="Times New Roman" w:cs="Times New Roman"/>
          <w:sz w:val="24"/>
          <w:szCs w:val="24"/>
          <w:lang w:eastAsia="en-GB"/>
        </w:rPr>
        <w:lastRenderedPageBreak/>
        <w:t>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7EC862D1"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6883E8FB" w14:textId="77777777"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278DC52B" w14:textId="77777777"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04D1D040" w14:textId="77777777"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002EE1A0" w14:textId="77777777"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21925759"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062DA8DC"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20B3B247"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28CB03AB" w14:textId="77777777"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0F58819A"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5170B98D" w14:textId="77777777"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1F51E6" w:rsidRPr="00A516D9">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614A0E">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относимото национално законодателство. При наличие на такъв риск </w:t>
      </w:r>
      <w:r w:rsidRPr="00A516D9">
        <w:rPr>
          <w:rFonts w:ascii="Times New Roman" w:eastAsia="Times New Roman" w:hAnsi="Times New Roman" w:cs="Times New Roman"/>
          <w:sz w:val="24"/>
          <w:szCs w:val="24"/>
          <w:lang w:eastAsia="en-GB"/>
        </w:rPr>
        <w:lastRenderedPageBreak/>
        <w:t>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C8B306F"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32CE06D7"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24E92AF7"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20221CCD"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57B79A7F"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39AED28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02D051F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0CE4B23E" w14:textId="77777777"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3C96BBA2" w14:textId="77777777"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85812">
        <w:rPr>
          <w:rFonts w:ascii="Times New Roman" w:eastAsia="Times New Roman" w:hAnsi="Times New Roman" w:cs="Times New Roman"/>
          <w:sz w:val="24"/>
          <w:szCs w:val="24"/>
          <w:lang w:eastAsia="en-GB"/>
        </w:rPr>
        <w:t>, изменено с  чл.</w:t>
      </w:r>
      <w:r w:rsidR="00C85812" w:rsidRPr="00F83A4B">
        <w:rPr>
          <w:rFonts w:ascii="Times New Roman" w:eastAsia="Times New Roman" w:hAnsi="Times New Roman" w:cs="Times New Roman"/>
          <w:sz w:val="24"/>
          <w:szCs w:val="24"/>
          <w:lang w:eastAsia="en-GB"/>
        </w:rPr>
        <w:t>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7DA90EC7"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59A8F083" w14:textId="77777777"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411FB41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784DDDA1"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5E3C578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0" w:name="_Ref41305831"/>
    </w:p>
    <w:p w14:paraId="4BF7DC58"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0"/>
    </w:p>
    <w:p w14:paraId="7ECCFC2C" w14:textId="77777777"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18F32CE2"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440D882F"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562E41BF"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479D31F3"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49210E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229EDDF6"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43B5E5D5" w14:textId="77777777" w:rsidR="00A516D9" w:rsidRPr="00CD35D6" w:rsidRDefault="00A516D9" w:rsidP="00CD35D6">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343EF073" w14:textId="77777777" w:rsidR="00CD35D6" w:rsidRPr="00D770FA" w:rsidRDefault="00A516D9" w:rsidP="00D770FA">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6D9B3DF9"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77A55D42" w14:textId="77777777"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416B1314"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43C7C6EC"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622731B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Срок за изпълнение на договора. Удължаване, спиране, извънредни обстоятелства и краен срок на договора</w:t>
      </w:r>
    </w:p>
    <w:p w14:paraId="14AAF52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7D8A9693"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8BF9052"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78106AA2"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8D7C8A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793A908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56C86D2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62105BC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w:t>
      </w:r>
      <w:r w:rsidRPr="00A516D9">
        <w:rPr>
          <w:rFonts w:ascii="Times New Roman" w:eastAsia="Times New Roman" w:hAnsi="Times New Roman" w:cs="Times New Roman"/>
          <w:sz w:val="24"/>
          <w:szCs w:val="24"/>
          <w:lang w:eastAsia="en-GB"/>
        </w:rPr>
        <w:lastRenderedPageBreak/>
        <w:t xml:space="preserve">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89E406E"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1" w:name="_Toc41300146"/>
      <w:bookmarkStart w:id="2" w:name="_Toc41303354"/>
      <w:bookmarkStart w:id="3" w:name="_Ref41305070"/>
      <w:bookmarkStart w:id="4" w:name="_Toc132048912"/>
    </w:p>
    <w:p w14:paraId="5A1A92F4"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5" w:name="_Ref41304998"/>
      <w:bookmarkEnd w:id="1"/>
      <w:bookmarkEnd w:id="2"/>
      <w:bookmarkEnd w:id="3"/>
      <w:bookmarkEnd w:id="4"/>
      <w:r w:rsidR="009649DE">
        <w:rPr>
          <w:rFonts w:ascii="Times New Roman" w:eastAsia="Times New Roman" w:hAnsi="Times New Roman" w:cs="Times New Roman"/>
          <w:b/>
          <w:sz w:val="24"/>
          <w:szCs w:val="24"/>
          <w:lang w:eastAsia="en-GB"/>
        </w:rPr>
        <w:t>/финансирането</w:t>
      </w:r>
    </w:p>
    <w:p w14:paraId="4884700F"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6" w:name="_Ref41304819"/>
      <w:bookmarkEnd w:id="5"/>
    </w:p>
    <w:p w14:paraId="1BCBCBF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6"/>
    </w:p>
    <w:p w14:paraId="745D68E5"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7" w:name="_Ref41304805"/>
    </w:p>
    <w:p w14:paraId="3E8E1E0A"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7"/>
    </w:p>
    <w:p w14:paraId="6D23416B"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7C919343" w14:textId="0374785E" w:rsid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22EEA448" w14:textId="77777777" w:rsidR="00BC27D2" w:rsidRPr="008E1D79" w:rsidRDefault="00BC27D2" w:rsidP="00BC27D2">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8E1D79">
        <w:rPr>
          <w:rFonts w:ascii="Times New Roman" w:eastAsia="Times New Roman" w:hAnsi="Times New Roman" w:cs="Times New Roman"/>
          <w:sz w:val="24"/>
          <w:szCs w:val="24"/>
          <w:lang w:eastAsia="en-GB"/>
        </w:rPr>
        <w:lastRenderedPageBreak/>
        <w:t>г</w:t>
      </w:r>
      <w:r w:rsidRPr="003441F4">
        <w:rPr>
          <w:rFonts w:ascii="Times New Roman" w:eastAsia="Times New Roman" w:hAnsi="Times New Roman" w:cs="Times New Roman"/>
          <w:sz w:val="24"/>
          <w:szCs w:val="24"/>
          <w:lang w:eastAsia="en-GB"/>
        </w:rPr>
        <w:t xml:space="preserve">) </w:t>
      </w:r>
      <w:r w:rsidRPr="008E1D79">
        <w:rPr>
          <w:rFonts w:ascii="Times New Roman" w:eastAsia="Times New Roman" w:hAnsi="Times New Roman" w:cs="Times New Roman"/>
          <w:sz w:val="24"/>
          <w:szCs w:val="24"/>
          <w:lang w:eastAsia="en-GB"/>
        </w:rPr>
        <w:t xml:space="preserve">при представяне на първо искане за междинно плащане не представи съответните документи, с които да удостовери, че организацията-бенефициент е новосъздаденото социално предприятие, което попада в обхвата на дефиницията, посочена в Условията за кандидатстване. В случай, че бенефициентът не е поискал междинно плащане, тази проверка се осъществява при подаване на искане за окончателно плащане или при осъществяване на служебна верификация. </w:t>
      </w:r>
    </w:p>
    <w:p w14:paraId="38213320" w14:textId="77777777" w:rsidR="00BC27D2" w:rsidRPr="008E1D79" w:rsidRDefault="00BC27D2" w:rsidP="00BC27D2">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8E1D79">
        <w:rPr>
          <w:rFonts w:ascii="Times New Roman" w:eastAsia="Times New Roman" w:hAnsi="Times New Roman" w:cs="Times New Roman"/>
          <w:sz w:val="24"/>
          <w:szCs w:val="24"/>
          <w:lang w:eastAsia="en-GB"/>
        </w:rPr>
        <w:t>д</w:t>
      </w:r>
      <w:r w:rsidRPr="003441F4">
        <w:rPr>
          <w:rFonts w:ascii="Times New Roman" w:eastAsia="Times New Roman" w:hAnsi="Times New Roman" w:cs="Times New Roman"/>
          <w:sz w:val="24"/>
          <w:szCs w:val="24"/>
          <w:lang w:eastAsia="en-GB"/>
        </w:rPr>
        <w:t xml:space="preserve">) </w:t>
      </w:r>
      <w:r w:rsidRPr="008E1D79">
        <w:rPr>
          <w:rFonts w:ascii="Times New Roman" w:eastAsia="Times New Roman" w:hAnsi="Times New Roman" w:cs="Times New Roman"/>
          <w:sz w:val="24"/>
          <w:szCs w:val="24"/>
          <w:lang w:eastAsia="en-GB"/>
        </w:rPr>
        <w:t xml:space="preserve">в случай, че бенефициентът не е спазил изискването за несъздаване на ново юридическо лице по време на изпълнението на проекта и представи документи, според които друго </w:t>
      </w:r>
      <w:r w:rsidRPr="003441F4">
        <w:rPr>
          <w:rFonts w:ascii="Times New Roman" w:eastAsia="Times New Roman" w:hAnsi="Times New Roman" w:cs="Times New Roman"/>
          <w:sz w:val="24"/>
          <w:szCs w:val="24"/>
          <w:lang w:eastAsia="en-GB"/>
        </w:rPr>
        <w:t>(</w:t>
      </w:r>
      <w:r w:rsidRPr="008E1D79">
        <w:rPr>
          <w:rFonts w:ascii="Times New Roman" w:eastAsia="Times New Roman" w:hAnsi="Times New Roman" w:cs="Times New Roman"/>
          <w:sz w:val="24"/>
          <w:szCs w:val="24"/>
          <w:lang w:eastAsia="en-GB"/>
        </w:rPr>
        <w:t>ново</w:t>
      </w:r>
      <w:r w:rsidRPr="003441F4">
        <w:rPr>
          <w:rFonts w:ascii="Times New Roman" w:eastAsia="Times New Roman" w:hAnsi="Times New Roman" w:cs="Times New Roman"/>
          <w:sz w:val="24"/>
          <w:szCs w:val="24"/>
          <w:lang w:eastAsia="en-GB"/>
        </w:rPr>
        <w:t>)</w:t>
      </w:r>
      <w:r w:rsidRPr="008E1D79">
        <w:rPr>
          <w:rFonts w:ascii="Times New Roman" w:eastAsia="Times New Roman" w:hAnsi="Times New Roman" w:cs="Times New Roman"/>
          <w:sz w:val="24"/>
          <w:szCs w:val="24"/>
          <w:lang w:eastAsia="en-GB"/>
        </w:rPr>
        <w:t xml:space="preserve"> юридическо лице е това, което всъщност отговаря на изискванията на определението за социално предприятие, посочено в Условията за кандидатстване. </w:t>
      </w:r>
    </w:p>
    <w:p w14:paraId="77CB7908" w14:textId="77777777"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53EF264F"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189D8F06"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6F84A95A"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8" w:name="_Ref41305235"/>
    </w:p>
    <w:p w14:paraId="4F61C92C"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8"/>
    </w:p>
    <w:p w14:paraId="756F70F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9"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4F4E1869" w14:textId="77777777"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020B5C13" w14:textId="77777777"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lastRenderedPageBreak/>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0" w:name="_Ref41305651"/>
      <w:bookmarkEnd w:id="9"/>
    </w:p>
    <w:p w14:paraId="6001972E" w14:textId="6B397719" w:rsidR="00190F36" w:rsidRPr="00A516D9" w:rsidRDefault="00847F42" w:rsidP="00146D11">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14:paraId="38119EA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0"/>
    </w:p>
    <w:p w14:paraId="16FFA317"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682074F5" w14:textId="77777777"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1" w:name="_Toc206335564"/>
      <w:bookmarkStart w:id="12" w:name="_Toc206335565"/>
      <w:bookmarkStart w:id="13" w:name="_Toc206335566"/>
      <w:bookmarkStart w:id="14" w:name="_Toc206335567"/>
      <w:bookmarkStart w:id="15" w:name="_Toc206335568"/>
      <w:bookmarkEnd w:id="11"/>
      <w:bookmarkEnd w:id="12"/>
      <w:bookmarkEnd w:id="13"/>
      <w:bookmarkEnd w:id="14"/>
      <w:bookmarkEnd w:id="15"/>
    </w:p>
    <w:p w14:paraId="4033BF68" w14:textId="77777777"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1C42E1E8"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4CE1550D"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6" w:name="_Ref41304730"/>
    </w:p>
    <w:p w14:paraId="7B88B068" w14:textId="77777777"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614A0E">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6"/>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45E47A1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692BDAC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5275071E"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6E9EE948"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616851C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w:t>
      </w:r>
      <w:r w:rsidRPr="00A516D9">
        <w:rPr>
          <w:rFonts w:ascii="Times New Roman" w:eastAsia="Times New Roman" w:hAnsi="Times New Roman" w:cs="Times New Roman"/>
          <w:sz w:val="24"/>
          <w:szCs w:val="24"/>
          <w:lang w:eastAsia="en-GB"/>
        </w:rPr>
        <w:lastRenderedPageBreak/>
        <w:t>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7A15812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5F59E9">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2609854C"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7" w:name="_Ref43882704"/>
    </w:p>
    <w:p w14:paraId="564B8874" w14:textId="77777777" w:rsidR="001F51E6" w:rsidRPr="00A516D9" w:rsidRDefault="00A516D9" w:rsidP="001F51E6">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7"/>
      <w:r w:rsidR="001F51E6">
        <w:rPr>
          <w:rFonts w:ascii="Times New Roman" w:eastAsia="Times New Roman" w:hAnsi="Times New Roman" w:cs="Times New Roman"/>
          <w:sz w:val="24"/>
          <w:szCs w:val="24"/>
          <w:lang w:eastAsia="en-GB"/>
        </w:rPr>
        <w:t xml:space="preserve">, </w:t>
      </w:r>
      <w:r w:rsidR="001F51E6"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01E34E9"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51E0CB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w:t>
      </w:r>
      <w:r w:rsidRPr="00A516D9">
        <w:rPr>
          <w:rFonts w:ascii="Times New Roman" w:eastAsia="Times New Roman" w:hAnsi="Times New Roman" w:cs="Times New Roman"/>
          <w:sz w:val="24"/>
          <w:szCs w:val="24"/>
          <w:lang w:eastAsia="en-GB"/>
        </w:rPr>
        <w:lastRenderedPageBreak/>
        <w:t xml:space="preserve">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37F09211"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232060F5"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1F51E6">
        <w:rPr>
          <w:rFonts w:ascii="Times New Roman" w:eastAsia="Times New Roman" w:hAnsi="Times New Roman" w:cs="Times New Roman"/>
          <w:sz w:val="24"/>
          <w:szCs w:val="24"/>
          <w:lang w:eastAsia="en-GB"/>
        </w:rPr>
        <w:t xml:space="preserve">, </w:t>
      </w:r>
      <w:r w:rsidR="001F51E6"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1F51E6">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2C34551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6EB24FFD"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49B392E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091844E0" w14:textId="77777777"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0316F063" w14:textId="77777777"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2210C37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78282464" w14:textId="77777777"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14:paraId="370917F3"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8" w:name="_Ref41305681"/>
    </w:p>
    <w:p w14:paraId="72E8966C"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5FDFA29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8"/>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216CA6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60332F68"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26AE852B"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lastRenderedPageBreak/>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10379B0A"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0438EFF" w14:textId="77777777"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009428A5" w:rsidRPr="00F43ED8">
        <w:rPr>
          <w:rStyle w:val="newdocreference"/>
          <w:rFonts w:ascii="Times New Roman" w:hAnsi="Times New Roman" w:cs="Times New Roman"/>
          <w:sz w:val="24"/>
          <w:szCs w:val="24"/>
          <w:shd w:val="clear" w:color="auto" w:fill="FEFEFE"/>
        </w:rPr>
        <w:t>Административнопроцесуалния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7AD1A79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817860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197E891A"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265E5EE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0D6B56BA" w14:textId="77777777" w:rsidR="00A516D9" w:rsidRPr="00D770FA" w:rsidRDefault="00A516D9" w:rsidP="00B94C19">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9EAE7BF" w14:textId="77777777" w:rsidR="00A516D9" w:rsidRPr="00295361" w:rsidRDefault="00A516D9" w:rsidP="00B94C19">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73C983D8" w14:textId="77777777"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lastRenderedPageBreak/>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DC5FB7">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b/>
          <w:sz w:val="24"/>
          <w:szCs w:val="24"/>
          <w:lang w:eastAsia="en-GB"/>
        </w:rPr>
        <w:t>Приложим закон и уреждане на спорове</w:t>
      </w:r>
    </w:p>
    <w:p w14:paraId="14D3E02B"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1F4B9E46"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3303B64D" w14:textId="77777777"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30757DC4"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2666A138"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4A43B317"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223A59B7"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33908B9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4B47C59E"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1B752D38"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7954899E"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3B306F28" w14:textId="77777777"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4C2515A4" w14:textId="77777777"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45BC12B0" w14:textId="77777777" w:rsidR="001A7D35" w:rsidRPr="008C3DE1" w:rsidRDefault="001A7D35" w:rsidP="001A7D35">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5B25C92C" w14:textId="77777777" w:rsidR="001A7D35" w:rsidRPr="004C6F77" w:rsidRDefault="001A7D35" w:rsidP="001A7D35">
      <w:pPr>
        <w:pStyle w:val="ListParagraph"/>
        <w:numPr>
          <w:ilvl w:val="0"/>
          <w:numId w:val="6"/>
        </w:numPr>
        <w:spacing w:before="80" w:after="80" w:line="240" w:lineRule="auto"/>
        <w:jc w:val="both"/>
        <w:rPr>
          <w:rFonts w:ascii="Times New Roman" w:eastAsia="Times New Roman" w:hAnsi="Times New Roman"/>
          <w:sz w:val="10"/>
          <w:szCs w:val="10"/>
          <w:lang w:eastAsia="fr-FR"/>
        </w:rPr>
      </w:pPr>
    </w:p>
    <w:p w14:paraId="53A371A7" w14:textId="77777777" w:rsidR="001A7D35" w:rsidRPr="001A7D35" w:rsidRDefault="001A7D35" w:rsidP="001A7D35">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w:t>
      </w:r>
      <w:r w:rsidRPr="001A7D35">
        <w:rPr>
          <w:rFonts w:ascii="Times New Roman" w:eastAsia="Times New Roman" w:hAnsi="Times New Roman"/>
          <w:sz w:val="24"/>
          <w:szCs w:val="24"/>
          <w:lang w:eastAsia="fr-FR"/>
        </w:rPr>
        <w:lastRenderedPageBreak/>
        <w:t xml:space="preserve">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04BF73F" w14:textId="77777777" w:rsidR="001F51E6" w:rsidRPr="004C6F77" w:rsidRDefault="001A7D35" w:rsidP="001F51E6">
      <w:pPr>
        <w:pStyle w:val="ListParagraph"/>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1F51E6"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sidR="001F51E6">
        <w:rPr>
          <w:rFonts w:ascii="Times New Roman" w:hAnsi="Times New Roman" w:cs="Times New Roman"/>
          <w:sz w:val="24"/>
          <w:szCs w:val="24"/>
        </w:rPr>
        <w:t>е, приети от Комисията</w:t>
      </w:r>
      <w:r w:rsidR="001F51E6" w:rsidRPr="00125115">
        <w:rPr>
          <w:rFonts w:ascii="Times New Roman" w:hAnsi="Times New Roman" w:cs="Times New Roman"/>
          <w:sz w:val="24"/>
          <w:szCs w:val="24"/>
        </w:rPr>
        <w:t>.</w:t>
      </w:r>
    </w:p>
    <w:p w14:paraId="3D591516" w14:textId="77777777" w:rsidR="00614A0E" w:rsidRPr="004C6F77" w:rsidRDefault="00614A0E" w:rsidP="00614A0E">
      <w:pPr>
        <w:pStyle w:val="ListParagraph"/>
        <w:spacing w:before="80" w:after="80" w:line="240" w:lineRule="auto"/>
        <w:jc w:val="both"/>
        <w:rPr>
          <w:rFonts w:ascii="Times New Roman" w:eastAsia="Times New Roman" w:hAnsi="Times New Roman" w:cs="Times New Roman"/>
          <w:sz w:val="24"/>
          <w:szCs w:val="24"/>
        </w:rPr>
      </w:pPr>
    </w:p>
    <w:p w14:paraId="1D8AC7BC"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01D297F"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682355">
        <w:rPr>
          <w:rFonts w:ascii="Times New Roman" w:eastAsia="Times New Roman" w:hAnsi="Times New Roman" w:cs="Times New Roman"/>
          <w:sz w:val="24"/>
          <w:szCs w:val="24"/>
        </w:rPr>
        <w:t>;</w:t>
      </w:r>
    </w:p>
    <w:p w14:paraId="29CDE1CD" w14:textId="7777777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5A5C4844" w14:textId="77777777"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214D4DE5" w14:textId="77777777" w:rsidR="00533E8C" w:rsidRDefault="00533E8C" w:rsidP="00533E8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r w:rsidR="005F59E9">
        <w:rPr>
          <w:rFonts w:ascii="Times New Roman" w:eastAsia="Times New Roman" w:hAnsi="Times New Roman" w:cs="Times New Roman"/>
          <w:sz w:val="24"/>
          <w:szCs w:val="24"/>
        </w:rPr>
        <w:t>;</w:t>
      </w:r>
    </w:p>
    <w:p w14:paraId="2DB200F7" w14:textId="77777777" w:rsidR="005F59E9" w:rsidRPr="0017531C" w:rsidRDefault="005F59E9" w:rsidP="005F59E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14:paraId="20DBD51B" w14:textId="77777777" w:rsidR="004D6B4B" w:rsidRPr="00614A0E" w:rsidRDefault="004D6B4B" w:rsidP="004D6B4B">
      <w:pPr>
        <w:spacing w:after="360" w:line="240" w:lineRule="auto"/>
        <w:jc w:val="both"/>
        <w:rPr>
          <w:rFonts w:ascii="Times New Roman" w:eastAsia="Times New Roman" w:hAnsi="Times New Roman" w:cs="Times New Roman"/>
          <w:b/>
          <w:bCs/>
          <w:sz w:val="24"/>
          <w:szCs w:val="24"/>
        </w:rPr>
      </w:pPr>
      <w:r w:rsidRPr="00614A0E">
        <w:rPr>
          <w:rFonts w:ascii="Times New Roman" w:eastAsia="Times New Roman" w:hAnsi="Times New Roman" w:cs="Times New Roman"/>
          <w:b/>
          <w:bCs/>
          <w:sz w:val="24"/>
          <w:szCs w:val="24"/>
        </w:rPr>
        <w:t>7.</w:t>
      </w:r>
      <w:r w:rsidR="00E32CB4" w:rsidRPr="00614A0E">
        <w:rPr>
          <w:rFonts w:ascii="Times New Roman" w:eastAsia="Times New Roman" w:hAnsi="Times New Roman" w:cs="Times New Roman"/>
          <w:b/>
          <w:bCs/>
          <w:sz w:val="24"/>
          <w:szCs w:val="24"/>
        </w:rPr>
        <w:t xml:space="preserve"> </w:t>
      </w:r>
      <w:r w:rsidRPr="00614A0E">
        <w:rPr>
          <w:rFonts w:ascii="Times New Roman" w:eastAsia="Times New Roman" w:hAnsi="Times New Roman" w:cs="Times New Roman"/>
          <w:b/>
          <w:bCs/>
          <w:sz w:val="24"/>
          <w:szCs w:val="24"/>
        </w:rPr>
        <w:t>Допълнителни разпоредби:</w:t>
      </w:r>
    </w:p>
    <w:p w14:paraId="2C8B2A54" w14:textId="77777777"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r w:rsidR="00682355">
        <w:rPr>
          <w:rFonts w:ascii="Times New Roman" w:eastAsia="Times New Roman" w:hAnsi="Times New Roman" w:cs="Times New Roman"/>
          <w:sz w:val="24"/>
          <w:szCs w:val="24"/>
        </w:rPr>
        <w:t>.</w:t>
      </w:r>
    </w:p>
    <w:p w14:paraId="71E390DC" w14:textId="7777777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239388A" w14:textId="77777777"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283AE046" w14:textId="7777777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75BAA49C" w14:textId="77777777"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 xml:space="preserve">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w:t>
      </w:r>
      <w:r w:rsidRPr="00281986">
        <w:rPr>
          <w:rFonts w:ascii="Times New Roman" w:eastAsia="Times New Roman" w:hAnsi="Times New Roman" w:cs="Times New Roman"/>
          <w:sz w:val="24"/>
          <w:szCs w:val="24"/>
          <w:lang w:eastAsia="fr-FR"/>
        </w:rPr>
        <w:lastRenderedPageBreak/>
        <w:t>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449E3F2"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71BA6459" w14:textId="77777777"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14:paraId="16A89555"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5C75A00A" w14:textId="77777777"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27898862"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241EEE4"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1676921F"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5DD07B50"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221793E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7D924867"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6FF093CC"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7B62E7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C45E35E" w14:textId="77777777" w:rsidR="00734C9C" w:rsidRPr="004C6F77" w:rsidRDefault="00734C9C" w:rsidP="00734C9C">
      <w:pPr>
        <w:spacing w:after="0" w:line="240" w:lineRule="auto"/>
        <w:jc w:val="both"/>
        <w:rPr>
          <w:rFonts w:ascii="Times New Roman" w:eastAsia="Times New Roman" w:hAnsi="Times New Roman" w:cs="Times New Roman"/>
          <w:sz w:val="24"/>
          <w:szCs w:val="24"/>
        </w:rPr>
      </w:pPr>
    </w:p>
    <w:p w14:paraId="40304F4F"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75745F">
          <w:headerReference w:type="default" r:id="rId8"/>
          <w:footerReference w:type="default" r:id="rId9"/>
          <w:pgSz w:w="11906" w:h="16838"/>
          <w:pgMar w:top="1802" w:right="1417" w:bottom="993" w:left="1417" w:header="450" w:footer="686" w:gutter="0"/>
          <w:cols w:space="708"/>
          <w:docGrid w:linePitch="360"/>
        </w:sectPr>
      </w:pPr>
    </w:p>
    <w:p w14:paraId="185F7274"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0B67D12"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3E8E678"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8DE55A5"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14:paraId="348882CB"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740E7624"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69D73F7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1AA596E"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p w14:paraId="7F356FFA"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4015D1AB" w14:textId="77777777"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14:paraId="20195847"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075C5664"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7C6AEF73"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2D7106AA"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64197335"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3F65B516"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3BE0D7FF"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3BCB24A8"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A98C5" w14:textId="77777777" w:rsidR="007B4ADE" w:rsidRDefault="007B4ADE" w:rsidP="0056023B">
      <w:pPr>
        <w:spacing w:after="0" w:line="240" w:lineRule="auto"/>
      </w:pPr>
      <w:r>
        <w:separator/>
      </w:r>
    </w:p>
  </w:endnote>
  <w:endnote w:type="continuationSeparator" w:id="0">
    <w:p w14:paraId="39F3A4F8" w14:textId="77777777" w:rsidR="007B4ADE" w:rsidRDefault="007B4ADE"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9520308"/>
      <w:docPartObj>
        <w:docPartGallery w:val="Page Numbers (Bottom of Page)"/>
        <w:docPartUnique/>
      </w:docPartObj>
    </w:sdtPr>
    <w:sdtEndPr>
      <w:rPr>
        <w:noProof/>
      </w:rPr>
    </w:sdtEndPr>
    <w:sdtContent>
      <w:p w14:paraId="5D9A9990" w14:textId="1E8767E7" w:rsidR="0075745F" w:rsidRDefault="008D4D26" w:rsidP="00B94C19">
        <w:pPr>
          <w:pStyle w:val="Footer"/>
          <w:jc w:val="right"/>
        </w:pPr>
        <w:r>
          <w:fldChar w:fldCharType="begin"/>
        </w:r>
        <w:r w:rsidR="000160DF">
          <w:instrText xml:space="preserve"> PAGE   \* MERGEFORMAT </w:instrText>
        </w:r>
        <w:r>
          <w:fldChar w:fldCharType="separate"/>
        </w:r>
        <w:r w:rsidR="008703F0">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412531"/>
      <w:docPartObj>
        <w:docPartGallery w:val="Page Numbers (Bottom of Page)"/>
        <w:docPartUnique/>
      </w:docPartObj>
    </w:sdtPr>
    <w:sdtEndPr>
      <w:rPr>
        <w:noProof/>
      </w:rPr>
    </w:sdtEndPr>
    <w:sdtContent>
      <w:p w14:paraId="2E6EE587" w14:textId="7167C4C4" w:rsidR="0075745F" w:rsidRDefault="008D4D26" w:rsidP="00B94C19">
        <w:pPr>
          <w:pStyle w:val="Footer"/>
          <w:jc w:val="right"/>
        </w:pPr>
        <w:r>
          <w:fldChar w:fldCharType="begin"/>
        </w:r>
        <w:r w:rsidR="000160DF">
          <w:instrText xml:space="preserve"> PAGE   \* MERGEFORMAT </w:instrText>
        </w:r>
        <w:r>
          <w:fldChar w:fldCharType="separate"/>
        </w:r>
        <w:r w:rsidR="00347FE1">
          <w:rPr>
            <w:noProof/>
          </w:rPr>
          <w:t>25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B0C6F" w14:textId="77777777" w:rsidR="007B4ADE" w:rsidRDefault="007B4ADE" w:rsidP="0056023B">
      <w:pPr>
        <w:spacing w:after="0" w:line="240" w:lineRule="auto"/>
      </w:pPr>
      <w:r>
        <w:separator/>
      </w:r>
    </w:p>
  </w:footnote>
  <w:footnote w:type="continuationSeparator" w:id="0">
    <w:p w14:paraId="28F55F22" w14:textId="77777777" w:rsidR="007B4ADE" w:rsidRDefault="007B4ADE" w:rsidP="0056023B">
      <w:pPr>
        <w:spacing w:after="0" w:line="240" w:lineRule="auto"/>
      </w:pPr>
      <w:r>
        <w:continuationSeparator/>
      </w:r>
    </w:p>
  </w:footnote>
  <w:footnote w:id="1">
    <w:p w14:paraId="6BC70C2C" w14:textId="77777777" w:rsidR="0075745F" w:rsidRPr="00450EA7" w:rsidRDefault="0075745F" w:rsidP="0056023B">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5207E" w14:textId="77777777" w:rsidR="0075745F" w:rsidRPr="00B05866" w:rsidRDefault="0075745F" w:rsidP="0075745F">
    <w:pPr>
      <w:pStyle w:val="Header"/>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lang w:eastAsia="bg-BG"/>
      </w:rPr>
      <w:drawing>
        <wp:inline distT="0" distB="0" distL="0" distR="0" wp14:anchorId="3E7501D9" wp14:editId="29D4B933">
          <wp:extent cx="906145" cy="774065"/>
          <wp:effectExtent l="19050" t="0" r="825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eastAsia="bg-BG"/>
      </w:rPr>
      <w:drawing>
        <wp:anchor distT="0" distB="0" distL="114300" distR="114300" simplePos="0" relativeHeight="251657216" behindDoc="0" locked="0" layoutInCell="1" allowOverlap="1" wp14:anchorId="60D1AB6C" wp14:editId="66AA3C87">
          <wp:simplePos x="0" y="0"/>
          <wp:positionH relativeFrom="column">
            <wp:posOffset>33655</wp:posOffset>
          </wp:positionH>
          <wp:positionV relativeFrom="paragraph">
            <wp:posOffset>-197485</wp:posOffset>
          </wp:positionV>
          <wp:extent cx="1094400" cy="113400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eastAsia="bg-BG"/>
      </w:rPr>
      <w:drawing>
        <wp:anchor distT="0" distB="0" distL="114300" distR="114300" simplePos="0" relativeHeight="251659264" behindDoc="0" locked="0" layoutInCell="1" allowOverlap="1" wp14:anchorId="2BE0EF45" wp14:editId="6F47F6F1">
          <wp:simplePos x="0" y="0"/>
          <wp:positionH relativeFrom="column">
            <wp:posOffset>4558030</wp:posOffset>
          </wp:positionH>
          <wp:positionV relativeFrom="paragraph">
            <wp:posOffset>-93980</wp:posOffset>
          </wp:positionV>
          <wp:extent cx="1138671" cy="974196"/>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14:paraId="712C7B87" w14:textId="77777777" w:rsidR="0075745F" w:rsidRPr="00DE4A29" w:rsidRDefault="0075745F" w:rsidP="0075745F">
    <w:pPr>
      <w:pStyle w:val="Header"/>
      <w:pBdr>
        <w:bottom w:val="single" w:sz="4" w:space="1" w:color="A5A5A5" w:themeColor="background1" w:themeShade="A5"/>
      </w:pBdr>
      <w:tabs>
        <w:tab w:val="left" w:pos="2580"/>
        <w:tab w:val="left" w:pos="2985"/>
      </w:tabs>
      <w:spacing w:after="120" w:line="276" w:lineRule="auto"/>
      <w:jc w:val="center"/>
      <w:rPr>
        <w:rFonts w:ascii="Times New Roman" w:hAnsi="Times New Roman" w:cs="Times New Roman"/>
        <w:color w:val="7F7F7F" w:themeColor="text1" w:themeTint="80"/>
        <w:sz w:val="24"/>
        <w:szCs w:val="24"/>
        <w:lang w:val="en-US"/>
      </w:rPr>
    </w:pPr>
    <w:r w:rsidRPr="00DE4A29">
      <w:rPr>
        <w:rFonts w:ascii="Times New Roman" w:hAnsi="Times New Roman" w:cs="Times New Roman"/>
        <w:color w:val="7F7F7F" w:themeColor="text1" w:themeTint="80"/>
        <w:sz w:val="24"/>
        <w:szCs w:val="24"/>
      </w:rPr>
      <w:t>МИГ СТРУМА – СИМИТЛИ КРЕСНА И СТРУМЯНИ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DA810" w14:textId="77777777" w:rsidR="0075745F" w:rsidRPr="00B6182B" w:rsidRDefault="0075745F"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36D96354" wp14:editId="4CC45705">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234B3BED" wp14:editId="1846B629">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5295677F" w14:textId="77777777" w:rsidR="0075745F" w:rsidRDefault="00757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026E"/>
    <w:rsid w:val="00004B5D"/>
    <w:rsid w:val="00005AF7"/>
    <w:rsid w:val="00010AFF"/>
    <w:rsid w:val="000160DF"/>
    <w:rsid w:val="0003702D"/>
    <w:rsid w:val="00046B1F"/>
    <w:rsid w:val="00047044"/>
    <w:rsid w:val="000521FB"/>
    <w:rsid w:val="0005368C"/>
    <w:rsid w:val="00056E27"/>
    <w:rsid w:val="00062189"/>
    <w:rsid w:val="0006505F"/>
    <w:rsid w:val="00067BD1"/>
    <w:rsid w:val="00082379"/>
    <w:rsid w:val="000854C9"/>
    <w:rsid w:val="000A1718"/>
    <w:rsid w:val="000A22EF"/>
    <w:rsid w:val="000A6623"/>
    <w:rsid w:val="000B0FAB"/>
    <w:rsid w:val="000B46B3"/>
    <w:rsid w:val="000B6322"/>
    <w:rsid w:val="000B723D"/>
    <w:rsid w:val="000C21A4"/>
    <w:rsid w:val="000C4E97"/>
    <w:rsid w:val="000C5859"/>
    <w:rsid w:val="000C608A"/>
    <w:rsid w:val="000D5187"/>
    <w:rsid w:val="000E0482"/>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46D11"/>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3D12"/>
    <w:rsid w:val="001D7D8A"/>
    <w:rsid w:val="001F2B58"/>
    <w:rsid w:val="001F4B15"/>
    <w:rsid w:val="001F51E6"/>
    <w:rsid w:val="002016C2"/>
    <w:rsid w:val="00202406"/>
    <w:rsid w:val="002040AE"/>
    <w:rsid w:val="002042F6"/>
    <w:rsid w:val="00206167"/>
    <w:rsid w:val="00212DD5"/>
    <w:rsid w:val="00214D8C"/>
    <w:rsid w:val="002162DB"/>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2723"/>
    <w:rsid w:val="00295361"/>
    <w:rsid w:val="002A3E0C"/>
    <w:rsid w:val="002B3576"/>
    <w:rsid w:val="002B6FB4"/>
    <w:rsid w:val="002C5E60"/>
    <w:rsid w:val="002C688E"/>
    <w:rsid w:val="002C73A2"/>
    <w:rsid w:val="002C76A9"/>
    <w:rsid w:val="002D44BD"/>
    <w:rsid w:val="002D5859"/>
    <w:rsid w:val="002E026B"/>
    <w:rsid w:val="002E23E7"/>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47FE1"/>
    <w:rsid w:val="00353E21"/>
    <w:rsid w:val="00360405"/>
    <w:rsid w:val="00363212"/>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3443C"/>
    <w:rsid w:val="00451249"/>
    <w:rsid w:val="00451E15"/>
    <w:rsid w:val="00454F6B"/>
    <w:rsid w:val="00463785"/>
    <w:rsid w:val="00463A2A"/>
    <w:rsid w:val="00465BAD"/>
    <w:rsid w:val="004665A3"/>
    <w:rsid w:val="00470701"/>
    <w:rsid w:val="00472A46"/>
    <w:rsid w:val="004777CA"/>
    <w:rsid w:val="00487A75"/>
    <w:rsid w:val="004A12C4"/>
    <w:rsid w:val="004A15C3"/>
    <w:rsid w:val="004A48E6"/>
    <w:rsid w:val="004B1251"/>
    <w:rsid w:val="004B13FF"/>
    <w:rsid w:val="004C1F28"/>
    <w:rsid w:val="004C6F77"/>
    <w:rsid w:val="004D6B4B"/>
    <w:rsid w:val="004E7818"/>
    <w:rsid w:val="004F73B1"/>
    <w:rsid w:val="00501208"/>
    <w:rsid w:val="00501A69"/>
    <w:rsid w:val="0050558D"/>
    <w:rsid w:val="00510841"/>
    <w:rsid w:val="00512228"/>
    <w:rsid w:val="00520B76"/>
    <w:rsid w:val="00527C40"/>
    <w:rsid w:val="00531D46"/>
    <w:rsid w:val="00533E8C"/>
    <w:rsid w:val="00534B50"/>
    <w:rsid w:val="0053669D"/>
    <w:rsid w:val="005419B6"/>
    <w:rsid w:val="00542084"/>
    <w:rsid w:val="00542660"/>
    <w:rsid w:val="0055196B"/>
    <w:rsid w:val="0055392D"/>
    <w:rsid w:val="0056023B"/>
    <w:rsid w:val="00584C6B"/>
    <w:rsid w:val="00592019"/>
    <w:rsid w:val="00596D85"/>
    <w:rsid w:val="005A1879"/>
    <w:rsid w:val="005A3F7A"/>
    <w:rsid w:val="005A4165"/>
    <w:rsid w:val="005B0430"/>
    <w:rsid w:val="005B516F"/>
    <w:rsid w:val="005B5285"/>
    <w:rsid w:val="005B72DB"/>
    <w:rsid w:val="005C0F67"/>
    <w:rsid w:val="005C55C1"/>
    <w:rsid w:val="005C7C83"/>
    <w:rsid w:val="005D25DA"/>
    <w:rsid w:val="005D7D95"/>
    <w:rsid w:val="005F59E9"/>
    <w:rsid w:val="00605054"/>
    <w:rsid w:val="00607E87"/>
    <w:rsid w:val="006145A4"/>
    <w:rsid w:val="00614A0E"/>
    <w:rsid w:val="0063026E"/>
    <w:rsid w:val="00635F09"/>
    <w:rsid w:val="006361D2"/>
    <w:rsid w:val="006402D8"/>
    <w:rsid w:val="0064067F"/>
    <w:rsid w:val="006450BC"/>
    <w:rsid w:val="0065504A"/>
    <w:rsid w:val="00664A11"/>
    <w:rsid w:val="00675448"/>
    <w:rsid w:val="0067590E"/>
    <w:rsid w:val="0067637A"/>
    <w:rsid w:val="00682355"/>
    <w:rsid w:val="0068274B"/>
    <w:rsid w:val="00683E00"/>
    <w:rsid w:val="00691F90"/>
    <w:rsid w:val="00697D0C"/>
    <w:rsid w:val="006A408A"/>
    <w:rsid w:val="006A4F08"/>
    <w:rsid w:val="006A7051"/>
    <w:rsid w:val="006B369A"/>
    <w:rsid w:val="006C01A7"/>
    <w:rsid w:val="006C068B"/>
    <w:rsid w:val="006C7193"/>
    <w:rsid w:val="006D0774"/>
    <w:rsid w:val="006D3FF3"/>
    <w:rsid w:val="006E1A3A"/>
    <w:rsid w:val="006E2D28"/>
    <w:rsid w:val="006E4C68"/>
    <w:rsid w:val="006E5C42"/>
    <w:rsid w:val="006E7120"/>
    <w:rsid w:val="006E7D21"/>
    <w:rsid w:val="006F03C7"/>
    <w:rsid w:val="006F0C29"/>
    <w:rsid w:val="006F18E4"/>
    <w:rsid w:val="006F19A9"/>
    <w:rsid w:val="00702F15"/>
    <w:rsid w:val="0070484C"/>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5F"/>
    <w:rsid w:val="0075753C"/>
    <w:rsid w:val="00760DD7"/>
    <w:rsid w:val="00763252"/>
    <w:rsid w:val="00764053"/>
    <w:rsid w:val="007654F4"/>
    <w:rsid w:val="0076571B"/>
    <w:rsid w:val="007663A1"/>
    <w:rsid w:val="00770D8A"/>
    <w:rsid w:val="00772147"/>
    <w:rsid w:val="00773DBC"/>
    <w:rsid w:val="00775EBC"/>
    <w:rsid w:val="0077764D"/>
    <w:rsid w:val="0078105E"/>
    <w:rsid w:val="007818AA"/>
    <w:rsid w:val="00787457"/>
    <w:rsid w:val="00787558"/>
    <w:rsid w:val="0079028B"/>
    <w:rsid w:val="007A29EA"/>
    <w:rsid w:val="007A4E55"/>
    <w:rsid w:val="007B1C5D"/>
    <w:rsid w:val="007B2445"/>
    <w:rsid w:val="007B4931"/>
    <w:rsid w:val="007B4ADE"/>
    <w:rsid w:val="007C1705"/>
    <w:rsid w:val="007C1FF6"/>
    <w:rsid w:val="007D2E84"/>
    <w:rsid w:val="007D3187"/>
    <w:rsid w:val="007F104B"/>
    <w:rsid w:val="007F7EF7"/>
    <w:rsid w:val="008009E5"/>
    <w:rsid w:val="00805E1F"/>
    <w:rsid w:val="00812F25"/>
    <w:rsid w:val="00821E5D"/>
    <w:rsid w:val="00827227"/>
    <w:rsid w:val="00831190"/>
    <w:rsid w:val="00832466"/>
    <w:rsid w:val="00832C3A"/>
    <w:rsid w:val="00833BCD"/>
    <w:rsid w:val="00834051"/>
    <w:rsid w:val="008369B7"/>
    <w:rsid w:val="00846DEE"/>
    <w:rsid w:val="00847F42"/>
    <w:rsid w:val="008530CE"/>
    <w:rsid w:val="00854B99"/>
    <w:rsid w:val="008566F5"/>
    <w:rsid w:val="008642D2"/>
    <w:rsid w:val="00864E50"/>
    <w:rsid w:val="008703F0"/>
    <w:rsid w:val="0088631C"/>
    <w:rsid w:val="0089207C"/>
    <w:rsid w:val="00896F36"/>
    <w:rsid w:val="008C46B6"/>
    <w:rsid w:val="008C4853"/>
    <w:rsid w:val="008C4F14"/>
    <w:rsid w:val="008C7590"/>
    <w:rsid w:val="008C7E2A"/>
    <w:rsid w:val="008D16C0"/>
    <w:rsid w:val="008D4D26"/>
    <w:rsid w:val="008D6B53"/>
    <w:rsid w:val="008D7FC3"/>
    <w:rsid w:val="008E2677"/>
    <w:rsid w:val="008E3DD6"/>
    <w:rsid w:val="008F34AE"/>
    <w:rsid w:val="008F3655"/>
    <w:rsid w:val="008F6C15"/>
    <w:rsid w:val="00916893"/>
    <w:rsid w:val="00920F40"/>
    <w:rsid w:val="0094154D"/>
    <w:rsid w:val="009428A5"/>
    <w:rsid w:val="0094377F"/>
    <w:rsid w:val="00943F79"/>
    <w:rsid w:val="00945AEE"/>
    <w:rsid w:val="00954FC0"/>
    <w:rsid w:val="00955189"/>
    <w:rsid w:val="00960D2C"/>
    <w:rsid w:val="00962B94"/>
    <w:rsid w:val="0096363D"/>
    <w:rsid w:val="009649DE"/>
    <w:rsid w:val="00966E3E"/>
    <w:rsid w:val="009723DD"/>
    <w:rsid w:val="009732A5"/>
    <w:rsid w:val="00974773"/>
    <w:rsid w:val="0097754E"/>
    <w:rsid w:val="009A3939"/>
    <w:rsid w:val="009A47E1"/>
    <w:rsid w:val="009A7C1B"/>
    <w:rsid w:val="009B24A1"/>
    <w:rsid w:val="009B4B20"/>
    <w:rsid w:val="009B5847"/>
    <w:rsid w:val="009B7A2C"/>
    <w:rsid w:val="009C11BB"/>
    <w:rsid w:val="009C4CB8"/>
    <w:rsid w:val="009C6A30"/>
    <w:rsid w:val="009D131F"/>
    <w:rsid w:val="009E0DA7"/>
    <w:rsid w:val="009E359A"/>
    <w:rsid w:val="009F09F7"/>
    <w:rsid w:val="009F2AAB"/>
    <w:rsid w:val="009F4C98"/>
    <w:rsid w:val="009F5CCA"/>
    <w:rsid w:val="009F6468"/>
    <w:rsid w:val="00A00BE4"/>
    <w:rsid w:val="00A02A71"/>
    <w:rsid w:val="00A14A70"/>
    <w:rsid w:val="00A15FA6"/>
    <w:rsid w:val="00A1693E"/>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1B41"/>
    <w:rsid w:val="00A8286C"/>
    <w:rsid w:val="00A832A9"/>
    <w:rsid w:val="00A85D09"/>
    <w:rsid w:val="00A9399D"/>
    <w:rsid w:val="00A9632C"/>
    <w:rsid w:val="00AA14F1"/>
    <w:rsid w:val="00AA254C"/>
    <w:rsid w:val="00AA4ABD"/>
    <w:rsid w:val="00AC2470"/>
    <w:rsid w:val="00AD0A74"/>
    <w:rsid w:val="00AD1D58"/>
    <w:rsid w:val="00AD2529"/>
    <w:rsid w:val="00AD3769"/>
    <w:rsid w:val="00AE285F"/>
    <w:rsid w:val="00AF46DB"/>
    <w:rsid w:val="00AF5F7D"/>
    <w:rsid w:val="00AF615E"/>
    <w:rsid w:val="00B01CBF"/>
    <w:rsid w:val="00B02BAF"/>
    <w:rsid w:val="00B044BA"/>
    <w:rsid w:val="00B0459D"/>
    <w:rsid w:val="00B04C5A"/>
    <w:rsid w:val="00B07167"/>
    <w:rsid w:val="00B12550"/>
    <w:rsid w:val="00B179A4"/>
    <w:rsid w:val="00B21A72"/>
    <w:rsid w:val="00B27BB2"/>
    <w:rsid w:val="00B33875"/>
    <w:rsid w:val="00B36491"/>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007F"/>
    <w:rsid w:val="00BA4606"/>
    <w:rsid w:val="00BB5EBF"/>
    <w:rsid w:val="00BC1E0C"/>
    <w:rsid w:val="00BC27D2"/>
    <w:rsid w:val="00BC781C"/>
    <w:rsid w:val="00BF396B"/>
    <w:rsid w:val="00BF5059"/>
    <w:rsid w:val="00BF52FA"/>
    <w:rsid w:val="00C0073B"/>
    <w:rsid w:val="00C01A0F"/>
    <w:rsid w:val="00C10D33"/>
    <w:rsid w:val="00C12946"/>
    <w:rsid w:val="00C13451"/>
    <w:rsid w:val="00C1581A"/>
    <w:rsid w:val="00C25CE9"/>
    <w:rsid w:val="00C25F37"/>
    <w:rsid w:val="00C30BAF"/>
    <w:rsid w:val="00C321D0"/>
    <w:rsid w:val="00C34F33"/>
    <w:rsid w:val="00C365F4"/>
    <w:rsid w:val="00C401E7"/>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85812"/>
    <w:rsid w:val="00C9455C"/>
    <w:rsid w:val="00CA3AFD"/>
    <w:rsid w:val="00CB0A15"/>
    <w:rsid w:val="00CB3672"/>
    <w:rsid w:val="00CB5840"/>
    <w:rsid w:val="00CB5B63"/>
    <w:rsid w:val="00CC0986"/>
    <w:rsid w:val="00CC24FB"/>
    <w:rsid w:val="00CC7AD2"/>
    <w:rsid w:val="00CD28DE"/>
    <w:rsid w:val="00CD3534"/>
    <w:rsid w:val="00CD35D6"/>
    <w:rsid w:val="00CE3A13"/>
    <w:rsid w:val="00CE54C4"/>
    <w:rsid w:val="00CF5FC5"/>
    <w:rsid w:val="00CF6FF5"/>
    <w:rsid w:val="00D02AC6"/>
    <w:rsid w:val="00D0483D"/>
    <w:rsid w:val="00D123FF"/>
    <w:rsid w:val="00D25ABA"/>
    <w:rsid w:val="00D273BD"/>
    <w:rsid w:val="00D311E1"/>
    <w:rsid w:val="00D33F1F"/>
    <w:rsid w:val="00D441C1"/>
    <w:rsid w:val="00D575B4"/>
    <w:rsid w:val="00D57802"/>
    <w:rsid w:val="00D63666"/>
    <w:rsid w:val="00D70588"/>
    <w:rsid w:val="00D7083B"/>
    <w:rsid w:val="00D76039"/>
    <w:rsid w:val="00D7669B"/>
    <w:rsid w:val="00D770FA"/>
    <w:rsid w:val="00D83AC4"/>
    <w:rsid w:val="00DA1B69"/>
    <w:rsid w:val="00DA6FF1"/>
    <w:rsid w:val="00DB0D02"/>
    <w:rsid w:val="00DB21B8"/>
    <w:rsid w:val="00DB6AE7"/>
    <w:rsid w:val="00DC5FB7"/>
    <w:rsid w:val="00DD19B2"/>
    <w:rsid w:val="00DD4AC0"/>
    <w:rsid w:val="00DD71F8"/>
    <w:rsid w:val="00DE4A29"/>
    <w:rsid w:val="00DE6DFD"/>
    <w:rsid w:val="00DE6E51"/>
    <w:rsid w:val="00DF0A21"/>
    <w:rsid w:val="00DF2B85"/>
    <w:rsid w:val="00E0789D"/>
    <w:rsid w:val="00E12AD5"/>
    <w:rsid w:val="00E1327E"/>
    <w:rsid w:val="00E22B5D"/>
    <w:rsid w:val="00E310CA"/>
    <w:rsid w:val="00E3271D"/>
    <w:rsid w:val="00E32CB4"/>
    <w:rsid w:val="00E37338"/>
    <w:rsid w:val="00E44C61"/>
    <w:rsid w:val="00E469EC"/>
    <w:rsid w:val="00E5070A"/>
    <w:rsid w:val="00E629F4"/>
    <w:rsid w:val="00E70744"/>
    <w:rsid w:val="00E73AD2"/>
    <w:rsid w:val="00E73D7B"/>
    <w:rsid w:val="00E8259C"/>
    <w:rsid w:val="00E827EA"/>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51E8"/>
    <w:rsid w:val="00F0747F"/>
    <w:rsid w:val="00F15383"/>
    <w:rsid w:val="00F17244"/>
    <w:rsid w:val="00F17E78"/>
    <w:rsid w:val="00F218C3"/>
    <w:rsid w:val="00F26801"/>
    <w:rsid w:val="00F3428B"/>
    <w:rsid w:val="00F35DE7"/>
    <w:rsid w:val="00F3636A"/>
    <w:rsid w:val="00F43497"/>
    <w:rsid w:val="00F45960"/>
    <w:rsid w:val="00F46F6C"/>
    <w:rsid w:val="00F47AB5"/>
    <w:rsid w:val="00F537A0"/>
    <w:rsid w:val="00F57369"/>
    <w:rsid w:val="00F60EB8"/>
    <w:rsid w:val="00F6265B"/>
    <w:rsid w:val="00F63F3B"/>
    <w:rsid w:val="00F64005"/>
    <w:rsid w:val="00F703B9"/>
    <w:rsid w:val="00F7040A"/>
    <w:rsid w:val="00F71AF8"/>
    <w:rsid w:val="00F75D6B"/>
    <w:rsid w:val="00F76FB4"/>
    <w:rsid w:val="00F8018A"/>
    <w:rsid w:val="00F84A48"/>
    <w:rsid w:val="00F92B1F"/>
    <w:rsid w:val="00FA196F"/>
    <w:rsid w:val="00FA5C38"/>
    <w:rsid w:val="00FB1BDD"/>
    <w:rsid w:val="00FB57F4"/>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94E55"/>
  <w15:docId w15:val="{4989D50E-83C5-4F41-8AEA-03954704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character" w:customStyle="1" w:styleId="newdocreference">
    <w:name w:val="newdocreference"/>
    <w:basedOn w:val="DefaultParagraphFont"/>
    <w:rsid w:val="0094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10006-095B-4DF4-872B-3B7FFD35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24</Pages>
  <Words>8744</Words>
  <Characters>49842</Characters>
  <Application>Microsoft Office Word</Application>
  <DocSecurity>0</DocSecurity>
  <Lines>415</Lines>
  <Paragraphs>116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User-004</cp:lastModifiedBy>
  <cp:revision>90</cp:revision>
  <cp:lastPrinted>2018-01-23T13:25:00Z</cp:lastPrinted>
  <dcterms:created xsi:type="dcterms:W3CDTF">2017-06-07T16:55:00Z</dcterms:created>
  <dcterms:modified xsi:type="dcterms:W3CDTF">2020-10-27T13:27:00Z</dcterms:modified>
</cp:coreProperties>
</file>