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CDABE2" w14:textId="386A2455" w:rsidR="0026304E" w:rsidRPr="00B52951" w:rsidRDefault="00520594" w:rsidP="00774333">
      <w:pPr>
        <w:pStyle w:val="a3"/>
        <w:jc w:val="center"/>
        <w:rPr>
          <w:b/>
          <w:caps/>
        </w:rPr>
      </w:pPr>
      <w:r w:rsidRPr="00B52951">
        <w:rPr>
          <w:b/>
          <w:caps/>
        </w:rPr>
        <w:t>МИГ Струма- Симитли, Кресна и Струмяни</w:t>
      </w:r>
    </w:p>
    <w:p w14:paraId="055B753F" w14:textId="77777777" w:rsidR="0026304E" w:rsidRPr="00B52951" w:rsidRDefault="00322CC6" w:rsidP="00B52951">
      <w:pPr>
        <w:pStyle w:val="1"/>
        <w:spacing w:before="89" w:line="322" w:lineRule="exact"/>
        <w:ind w:left="0" w:right="0"/>
        <w:rPr>
          <w:caps/>
          <w:sz w:val="24"/>
          <w:szCs w:val="24"/>
        </w:rPr>
      </w:pPr>
      <w:r w:rsidRPr="00B52951">
        <w:rPr>
          <w:caps/>
          <w:sz w:val="24"/>
          <w:szCs w:val="24"/>
        </w:rPr>
        <w:t>с подкрепата на Оперативна програма</w:t>
      </w:r>
    </w:p>
    <w:p w14:paraId="20AD97E1" w14:textId="77777777" w:rsidR="0026304E" w:rsidRPr="00B52951" w:rsidRDefault="00322CC6" w:rsidP="00B52951">
      <w:pPr>
        <w:jc w:val="center"/>
        <w:rPr>
          <w:b/>
          <w:caps/>
          <w:sz w:val="24"/>
          <w:szCs w:val="24"/>
        </w:rPr>
      </w:pPr>
      <w:r w:rsidRPr="00B52951">
        <w:rPr>
          <w:b/>
          <w:caps/>
          <w:sz w:val="24"/>
          <w:szCs w:val="24"/>
        </w:rPr>
        <w:t>„Иновации и конкурентоспособност“ 2014 – 2020</w:t>
      </w:r>
    </w:p>
    <w:p w14:paraId="3EA849BC" w14:textId="77777777" w:rsidR="0026304E" w:rsidRPr="00BA633A" w:rsidRDefault="0026304E" w:rsidP="00B52951">
      <w:pPr>
        <w:pStyle w:val="a3"/>
        <w:spacing w:before="10"/>
        <w:jc w:val="center"/>
        <w:rPr>
          <w:b/>
        </w:rPr>
      </w:pPr>
    </w:p>
    <w:p w14:paraId="59219793" w14:textId="65D5A32F" w:rsidR="0026304E" w:rsidRPr="00BA633A" w:rsidRDefault="00322CC6" w:rsidP="00B52951">
      <w:pPr>
        <w:spacing w:before="1"/>
        <w:jc w:val="center"/>
        <w:rPr>
          <w:b/>
          <w:sz w:val="24"/>
          <w:szCs w:val="24"/>
        </w:rPr>
      </w:pPr>
      <w:r w:rsidRPr="00BA633A">
        <w:rPr>
          <w:b/>
          <w:sz w:val="24"/>
          <w:szCs w:val="24"/>
        </w:rPr>
        <w:t>О</w:t>
      </w:r>
      <w:r w:rsidR="00B52951">
        <w:rPr>
          <w:b/>
          <w:sz w:val="24"/>
          <w:szCs w:val="24"/>
        </w:rPr>
        <w:t xml:space="preserve"> </w:t>
      </w:r>
      <w:r w:rsidRPr="00BA633A">
        <w:rPr>
          <w:b/>
          <w:sz w:val="24"/>
          <w:szCs w:val="24"/>
        </w:rPr>
        <w:t>Б</w:t>
      </w:r>
      <w:r w:rsidR="00B52951">
        <w:rPr>
          <w:b/>
          <w:sz w:val="24"/>
          <w:szCs w:val="24"/>
        </w:rPr>
        <w:t xml:space="preserve"> </w:t>
      </w:r>
      <w:r w:rsidRPr="00BA633A">
        <w:rPr>
          <w:b/>
          <w:sz w:val="24"/>
          <w:szCs w:val="24"/>
        </w:rPr>
        <w:t>Я</w:t>
      </w:r>
      <w:r w:rsidR="00B52951">
        <w:rPr>
          <w:b/>
          <w:sz w:val="24"/>
          <w:szCs w:val="24"/>
        </w:rPr>
        <w:t xml:space="preserve"> </w:t>
      </w:r>
      <w:r w:rsidRPr="00BA633A">
        <w:rPr>
          <w:b/>
          <w:sz w:val="24"/>
          <w:szCs w:val="24"/>
        </w:rPr>
        <w:t>В</w:t>
      </w:r>
      <w:r w:rsidR="00B52951">
        <w:rPr>
          <w:b/>
          <w:sz w:val="24"/>
          <w:szCs w:val="24"/>
        </w:rPr>
        <w:t xml:space="preserve"> </w:t>
      </w:r>
      <w:r w:rsidRPr="00BA633A">
        <w:rPr>
          <w:b/>
          <w:sz w:val="24"/>
          <w:szCs w:val="24"/>
        </w:rPr>
        <w:t>Я</w:t>
      </w:r>
      <w:r w:rsidR="00B52951">
        <w:rPr>
          <w:b/>
          <w:sz w:val="24"/>
          <w:szCs w:val="24"/>
        </w:rPr>
        <w:t xml:space="preserve"> </w:t>
      </w:r>
      <w:r w:rsidRPr="00BA633A">
        <w:rPr>
          <w:b/>
          <w:sz w:val="24"/>
          <w:szCs w:val="24"/>
        </w:rPr>
        <w:t>В</w:t>
      </w:r>
      <w:r w:rsidR="00B52951">
        <w:rPr>
          <w:b/>
          <w:sz w:val="24"/>
          <w:szCs w:val="24"/>
        </w:rPr>
        <w:t xml:space="preserve"> </w:t>
      </w:r>
      <w:r w:rsidRPr="00BA633A">
        <w:rPr>
          <w:b/>
          <w:sz w:val="24"/>
          <w:szCs w:val="24"/>
        </w:rPr>
        <w:t>А</w:t>
      </w:r>
    </w:p>
    <w:p w14:paraId="78C0B9EA" w14:textId="77777777" w:rsidR="0026304E" w:rsidRPr="00BA633A" w:rsidRDefault="0026304E">
      <w:pPr>
        <w:pStyle w:val="a3"/>
        <w:spacing w:before="6"/>
        <w:rPr>
          <w:b/>
        </w:rPr>
      </w:pPr>
    </w:p>
    <w:p w14:paraId="14A94C35" w14:textId="77777777" w:rsidR="0026304E" w:rsidRPr="00BA633A" w:rsidRDefault="00322CC6" w:rsidP="00B52951">
      <w:pPr>
        <w:spacing w:before="1"/>
        <w:jc w:val="right"/>
        <w:rPr>
          <w:b/>
          <w:bCs/>
          <w:sz w:val="24"/>
          <w:szCs w:val="24"/>
        </w:rPr>
      </w:pPr>
      <w:r w:rsidRPr="00BA633A">
        <w:rPr>
          <w:b/>
          <w:bCs/>
          <w:sz w:val="24"/>
          <w:szCs w:val="24"/>
        </w:rPr>
        <w:t>подбор на проектни предложения по процедура за безвъзмездна финансова помощ</w:t>
      </w:r>
    </w:p>
    <w:p w14:paraId="7F424ADA" w14:textId="77777777" w:rsidR="004875DF" w:rsidRPr="004875DF" w:rsidRDefault="004875DF" w:rsidP="004875DF">
      <w:pPr>
        <w:tabs>
          <w:tab w:val="left" w:pos="2177"/>
        </w:tabs>
        <w:spacing w:after="240"/>
        <w:jc w:val="center"/>
        <w:rPr>
          <w:b/>
          <w:sz w:val="24"/>
          <w:szCs w:val="24"/>
        </w:rPr>
      </w:pPr>
      <w:r w:rsidRPr="004875DF">
        <w:rPr>
          <w:b/>
          <w:sz w:val="24"/>
          <w:szCs w:val="24"/>
        </w:rPr>
        <w:t>BG16RFOP002-2.070 МИГ Струма - Симитли, Кресна и Струмяни - мярка 2.2 „Подобряване на производствения капацитет в МСП“</w:t>
      </w:r>
    </w:p>
    <w:p w14:paraId="6DE08265" w14:textId="77777777" w:rsidR="0026304E" w:rsidRPr="00206907" w:rsidRDefault="0026304E" w:rsidP="00D9556B">
      <w:pPr>
        <w:pStyle w:val="a3"/>
        <w:spacing w:before="7"/>
        <w:jc w:val="center"/>
        <w:rPr>
          <w:b/>
          <w:bCs/>
        </w:rPr>
      </w:pPr>
    </w:p>
    <w:p w14:paraId="58F744C4" w14:textId="4D9EABF6" w:rsidR="0026304E" w:rsidRPr="006A4DEF" w:rsidRDefault="00322CC6" w:rsidP="006A4DEF">
      <w:pPr>
        <w:pStyle w:val="2"/>
        <w:numPr>
          <w:ilvl w:val="0"/>
          <w:numId w:val="12"/>
        </w:numPr>
        <w:rPr>
          <w:color w:val="548DD4" w:themeColor="text2" w:themeTint="99"/>
        </w:rPr>
      </w:pPr>
      <w:r w:rsidRPr="006A4DEF">
        <w:rPr>
          <w:color w:val="548DD4" w:themeColor="text2" w:themeTint="99"/>
        </w:rPr>
        <w:t>Цел</w:t>
      </w:r>
      <w:r w:rsidR="00E02096">
        <w:rPr>
          <w:color w:val="548DD4" w:themeColor="text2" w:themeTint="99"/>
        </w:rPr>
        <w:t>и</w:t>
      </w:r>
      <w:r w:rsidRPr="006A4DEF">
        <w:rPr>
          <w:color w:val="548DD4" w:themeColor="text2" w:themeTint="99"/>
        </w:rPr>
        <w:t xml:space="preserve"> на процедурата</w:t>
      </w:r>
    </w:p>
    <w:p w14:paraId="5D31DB2B" w14:textId="77777777" w:rsidR="00BA633A" w:rsidRPr="00BA633A" w:rsidRDefault="00BA633A">
      <w:pPr>
        <w:pStyle w:val="2"/>
      </w:pPr>
    </w:p>
    <w:p w14:paraId="4AEAE8C9" w14:textId="6CB84617" w:rsidR="004875DF" w:rsidRPr="00F86E93" w:rsidRDefault="004875DF" w:rsidP="004875DF">
      <w:pPr>
        <w:spacing w:before="25" w:after="120"/>
        <w:jc w:val="both"/>
        <w:rPr>
          <w:sz w:val="24"/>
          <w:szCs w:val="24"/>
        </w:rPr>
      </w:pPr>
      <w:r w:rsidRPr="004A589A">
        <w:rPr>
          <w:sz w:val="24"/>
          <w:szCs w:val="24"/>
        </w:rPr>
        <w:t xml:space="preserve">Целта на настоящата процедура е </w:t>
      </w:r>
      <w:r>
        <w:rPr>
          <w:sz w:val="24"/>
          <w:szCs w:val="24"/>
        </w:rPr>
        <w:t>п</w:t>
      </w:r>
      <w:r w:rsidRPr="005E664C">
        <w:rPr>
          <w:color w:val="000000"/>
          <w:sz w:val="24"/>
          <w:szCs w:val="24"/>
        </w:rPr>
        <w:t xml:space="preserve">одобряване на производствените процеси в МСП на територията на </w:t>
      </w:r>
      <w:r w:rsidRPr="005E664C">
        <w:rPr>
          <w:sz w:val="24"/>
          <w:szCs w:val="24"/>
        </w:rPr>
        <w:t>МИГ “Струма”</w:t>
      </w:r>
      <w:r w:rsidRPr="005E664C">
        <w:rPr>
          <w:color w:val="000000"/>
          <w:sz w:val="24"/>
          <w:szCs w:val="24"/>
        </w:rPr>
        <w:t>, чрез инвестиции в дълготрайни матер</w:t>
      </w:r>
      <w:bookmarkStart w:id="0" w:name="_GoBack"/>
      <w:bookmarkEnd w:id="0"/>
      <w:r w:rsidRPr="005E664C">
        <w:rPr>
          <w:color w:val="000000"/>
          <w:sz w:val="24"/>
          <w:szCs w:val="24"/>
        </w:rPr>
        <w:t>иални и нематериални активи, въвеждане на водещи технологични решения, разширяване на производството, чрез добавяне на нови характеристики или подобряване на съществуващите продукти и услуги.</w:t>
      </w:r>
      <w:r w:rsidRPr="00F86E93">
        <w:t xml:space="preserve"> </w:t>
      </w:r>
      <w:r w:rsidRPr="00F86E93">
        <w:rPr>
          <w:sz w:val="24"/>
          <w:szCs w:val="24"/>
        </w:rPr>
        <w:t>Финансово ще бъдат подпомагани действия за подобряване качеството на съществуващи процеси, продукти и услуги чрез разработване и въвеждане на базирани на ИКТ системи и приложения.</w:t>
      </w:r>
    </w:p>
    <w:p w14:paraId="25005FB2" w14:textId="340F52DE" w:rsidR="00BA633A" w:rsidRDefault="00BA633A" w:rsidP="004875DF">
      <w:pPr>
        <w:tabs>
          <w:tab w:val="center" w:pos="5223"/>
        </w:tabs>
        <w:spacing w:before="25" w:after="120"/>
        <w:jc w:val="both"/>
        <w:rPr>
          <w:b/>
        </w:rPr>
      </w:pPr>
    </w:p>
    <w:p w14:paraId="64CBAEC8" w14:textId="57BF3CF3" w:rsidR="00BA633A" w:rsidRPr="006A4DEF" w:rsidRDefault="00BA633A" w:rsidP="006A4DEF">
      <w:pPr>
        <w:pStyle w:val="2"/>
        <w:numPr>
          <w:ilvl w:val="0"/>
          <w:numId w:val="12"/>
        </w:numPr>
      </w:pPr>
      <w:r w:rsidRPr="006A4DEF">
        <w:rPr>
          <w:color w:val="548DD4" w:themeColor="text2" w:themeTint="99"/>
        </w:rPr>
        <w:t>Допустими кандидати</w:t>
      </w:r>
    </w:p>
    <w:p w14:paraId="51FD56B7" w14:textId="77777777" w:rsidR="00206907" w:rsidRDefault="00206907" w:rsidP="006A4DEF">
      <w:pPr>
        <w:pStyle w:val="2"/>
      </w:pPr>
    </w:p>
    <w:p w14:paraId="434B5C35" w14:textId="31241164" w:rsidR="00BA633A" w:rsidRDefault="00BA633A" w:rsidP="00B52951">
      <w:pPr>
        <w:pStyle w:val="a3"/>
        <w:ind w:left="148" w:right="104"/>
        <w:jc w:val="both"/>
      </w:pPr>
      <w:r>
        <w:t xml:space="preserve">Малки и средни предприятия, регистрирани по Търговския закон или Закона за кооперациите, със седалище и адрес на управление на територията на действие на МИГ </w:t>
      </w:r>
      <w:r w:rsidR="00B06297">
        <w:t>„</w:t>
      </w:r>
      <w:r>
        <w:t>Струма</w:t>
      </w:r>
      <w:r w:rsidR="00B06297">
        <w:t xml:space="preserve"> </w:t>
      </w:r>
      <w:r>
        <w:t>- Симитли, Кресна и Струмяни</w:t>
      </w:r>
      <w:r w:rsidR="00B06297">
        <w:t>“</w:t>
      </w:r>
      <w:r>
        <w:t>, и отговарящи на изискванията в Условията за кандидатстване по процедурата.</w:t>
      </w:r>
    </w:p>
    <w:p w14:paraId="06AB5508" w14:textId="77777777" w:rsidR="006A4DEF" w:rsidRDefault="006A4DEF" w:rsidP="006A4DEF">
      <w:pPr>
        <w:pStyle w:val="a3"/>
        <w:ind w:left="148" w:right="104" w:firstLine="572"/>
        <w:jc w:val="both"/>
      </w:pPr>
    </w:p>
    <w:p w14:paraId="3221274F" w14:textId="67248B13" w:rsidR="00206907" w:rsidRPr="006A4DEF" w:rsidRDefault="003B7B44" w:rsidP="006A4DEF">
      <w:pPr>
        <w:pStyle w:val="2"/>
        <w:numPr>
          <w:ilvl w:val="0"/>
          <w:numId w:val="12"/>
        </w:numPr>
        <w:rPr>
          <w:color w:val="548DD4" w:themeColor="text2" w:themeTint="99"/>
        </w:rPr>
      </w:pPr>
      <w:r>
        <w:rPr>
          <w:color w:val="548DD4" w:themeColor="text2" w:themeTint="99"/>
        </w:rPr>
        <w:t xml:space="preserve">Информация за общия бюджет на </w:t>
      </w:r>
      <w:r w:rsidR="00206907" w:rsidRPr="006A4DEF">
        <w:rPr>
          <w:color w:val="548DD4" w:themeColor="text2" w:themeTint="99"/>
        </w:rPr>
        <w:t>процедурата</w:t>
      </w:r>
      <w:r>
        <w:rPr>
          <w:color w:val="548DD4" w:themeColor="text2" w:themeTint="99"/>
        </w:rPr>
        <w:t xml:space="preserve"> и предоставяне на БФП</w:t>
      </w:r>
    </w:p>
    <w:p w14:paraId="713FF5BB" w14:textId="77777777" w:rsidR="00206907" w:rsidRDefault="00206907" w:rsidP="00206907">
      <w:pPr>
        <w:pStyle w:val="a4"/>
        <w:spacing w:before="90"/>
        <w:ind w:left="360"/>
        <w:rPr>
          <w:b/>
          <w:sz w:val="24"/>
          <w:szCs w:val="24"/>
        </w:rPr>
      </w:pPr>
    </w:p>
    <w:p w14:paraId="476C9DB0" w14:textId="7A01EB46" w:rsidR="00206907" w:rsidRPr="004875DF" w:rsidRDefault="00206907" w:rsidP="003B7B44">
      <w:pPr>
        <w:spacing w:after="120"/>
        <w:ind w:left="142"/>
        <w:jc w:val="both"/>
        <w:rPr>
          <w:sz w:val="24"/>
          <w:szCs w:val="24"/>
        </w:rPr>
      </w:pPr>
      <w:r w:rsidRPr="004875DF">
        <w:rPr>
          <w:sz w:val="24"/>
          <w:szCs w:val="24"/>
        </w:rPr>
        <w:t xml:space="preserve">Бюджетът по настоящата процедура за подбор на проектни предложения е в размер на </w:t>
      </w:r>
      <w:r w:rsidR="004875DF" w:rsidRPr="004875DF">
        <w:rPr>
          <w:b/>
          <w:sz w:val="24"/>
          <w:szCs w:val="24"/>
        </w:rPr>
        <w:t>1 200 000</w:t>
      </w:r>
      <w:r w:rsidRPr="004875DF">
        <w:rPr>
          <w:b/>
          <w:sz w:val="24"/>
          <w:szCs w:val="24"/>
        </w:rPr>
        <w:t xml:space="preserve">,00 </w:t>
      </w:r>
      <w:r w:rsidRPr="004875DF">
        <w:rPr>
          <w:sz w:val="24"/>
          <w:szCs w:val="24"/>
        </w:rPr>
        <w:t>лева и в съответствие с одобрения финансов план на Стратегията за Водено от общностите местно развитие на МИГ „Струма – Симитли, Кресна и Струмяни“, както следва:</w:t>
      </w:r>
    </w:p>
    <w:p w14:paraId="2CEA561C" w14:textId="77777777" w:rsidR="00206907" w:rsidRPr="004875DF" w:rsidRDefault="00206907" w:rsidP="00206907">
      <w:pPr>
        <w:contextualSpacing/>
        <w:jc w:val="both"/>
      </w:pPr>
    </w:p>
    <w:tbl>
      <w:tblPr>
        <w:tblStyle w:val="a9"/>
        <w:tblW w:w="10314" w:type="dxa"/>
        <w:jc w:val="center"/>
        <w:tblLook w:val="04A0" w:firstRow="1" w:lastRow="0" w:firstColumn="1" w:lastColumn="0" w:noHBand="0" w:noVBand="1"/>
      </w:tblPr>
      <w:tblGrid>
        <w:gridCol w:w="3190"/>
        <w:gridCol w:w="3191"/>
        <w:gridCol w:w="3933"/>
      </w:tblGrid>
      <w:tr w:rsidR="00206907" w:rsidRPr="004875DF" w14:paraId="5C97592C" w14:textId="77777777" w:rsidTr="00206907">
        <w:trPr>
          <w:jc w:val="center"/>
        </w:trPr>
        <w:tc>
          <w:tcPr>
            <w:tcW w:w="3190" w:type="dxa"/>
            <w:shd w:val="clear" w:color="auto" w:fill="DBE5F1" w:themeFill="accent1" w:themeFillTint="33"/>
            <w:vAlign w:val="center"/>
          </w:tcPr>
          <w:p w14:paraId="34F63C9A" w14:textId="77777777" w:rsidR="00206907" w:rsidRPr="004875DF" w:rsidRDefault="00206907" w:rsidP="00366155">
            <w:pPr>
              <w:spacing w:before="57" w:after="57"/>
              <w:jc w:val="center"/>
            </w:pPr>
            <w:r w:rsidRPr="004875DF">
              <w:rPr>
                <w:b/>
                <w:sz w:val="24"/>
                <w:szCs w:val="24"/>
              </w:rPr>
              <w:t>Общ размер на безвъзмездната финансова помощ по процедурата</w:t>
            </w:r>
          </w:p>
        </w:tc>
        <w:tc>
          <w:tcPr>
            <w:tcW w:w="3191" w:type="dxa"/>
            <w:shd w:val="clear" w:color="auto" w:fill="DBE5F1" w:themeFill="accent1" w:themeFillTint="33"/>
            <w:vAlign w:val="center"/>
          </w:tcPr>
          <w:p w14:paraId="657F9DE9" w14:textId="77777777" w:rsidR="00206907" w:rsidRPr="004875DF" w:rsidRDefault="00206907" w:rsidP="00366155">
            <w:pPr>
              <w:spacing w:before="57" w:after="57"/>
              <w:jc w:val="center"/>
            </w:pPr>
            <w:r w:rsidRPr="004875DF">
              <w:rPr>
                <w:b/>
                <w:sz w:val="24"/>
              </w:rPr>
              <w:t>Средства от Европейския фонд за регионално развитие (ЕФРР)</w:t>
            </w:r>
            <w:r w:rsidRPr="004875DF">
              <w:rPr>
                <w:b/>
                <w:sz w:val="24"/>
                <w:szCs w:val="24"/>
              </w:rPr>
              <w:t xml:space="preserve"> (сума/процент)</w:t>
            </w:r>
          </w:p>
        </w:tc>
        <w:tc>
          <w:tcPr>
            <w:tcW w:w="3933" w:type="dxa"/>
            <w:shd w:val="clear" w:color="auto" w:fill="DBE5F1" w:themeFill="accent1" w:themeFillTint="33"/>
            <w:vAlign w:val="center"/>
          </w:tcPr>
          <w:p w14:paraId="6BD9D5CC" w14:textId="77777777" w:rsidR="00206907" w:rsidRPr="004875DF" w:rsidRDefault="00206907" w:rsidP="00366155">
            <w:pPr>
              <w:spacing w:before="57" w:after="57"/>
              <w:jc w:val="center"/>
            </w:pPr>
            <w:r w:rsidRPr="004875DF">
              <w:rPr>
                <w:b/>
                <w:sz w:val="24"/>
                <w:szCs w:val="24"/>
              </w:rPr>
              <w:t>Национално съфинансиране</w:t>
            </w:r>
          </w:p>
          <w:p w14:paraId="1EEBF15E" w14:textId="77777777" w:rsidR="00206907" w:rsidRPr="004875DF" w:rsidRDefault="00206907" w:rsidP="00366155">
            <w:pPr>
              <w:spacing w:before="57" w:after="57"/>
              <w:jc w:val="center"/>
            </w:pPr>
            <w:r w:rsidRPr="004875DF">
              <w:rPr>
                <w:b/>
                <w:sz w:val="24"/>
                <w:szCs w:val="24"/>
              </w:rPr>
              <w:t>(сума/процент)</w:t>
            </w:r>
          </w:p>
        </w:tc>
      </w:tr>
      <w:tr w:rsidR="004875DF" w:rsidRPr="004875DF" w14:paraId="0E2A9FEB" w14:textId="77777777" w:rsidTr="00206907">
        <w:trPr>
          <w:jc w:val="center"/>
        </w:trPr>
        <w:tc>
          <w:tcPr>
            <w:tcW w:w="3190" w:type="dxa"/>
            <w:vAlign w:val="center"/>
          </w:tcPr>
          <w:p w14:paraId="70F0B4D3" w14:textId="77777777" w:rsidR="004875DF" w:rsidRPr="004875DF" w:rsidRDefault="004875DF" w:rsidP="004875DF">
            <w:pPr>
              <w:pStyle w:val="TableParagraph"/>
              <w:spacing w:after="120" w:line="273" w:lineRule="exact"/>
              <w:jc w:val="center"/>
              <w:rPr>
                <w:b/>
                <w:sz w:val="24"/>
                <w:szCs w:val="24"/>
              </w:rPr>
            </w:pPr>
            <w:r w:rsidRPr="004875DF">
              <w:rPr>
                <w:b/>
                <w:sz w:val="24"/>
                <w:szCs w:val="24"/>
              </w:rPr>
              <w:t>1 200 000,00 лв.</w:t>
            </w:r>
          </w:p>
          <w:p w14:paraId="2A55C0C8" w14:textId="5D55E375" w:rsidR="004875DF" w:rsidRPr="004875DF" w:rsidRDefault="004875DF" w:rsidP="004875DF">
            <w:pPr>
              <w:pStyle w:val="Default"/>
              <w:spacing w:after="120"/>
              <w:jc w:val="center"/>
              <w:rPr>
                <w:b/>
              </w:rPr>
            </w:pPr>
            <w:r w:rsidRPr="004875DF">
              <w:rPr>
                <w:rFonts w:eastAsia="Times New Roman"/>
                <w:b/>
                <w:lang w:val="en-GB" w:eastAsia="bg-BG"/>
              </w:rPr>
              <w:t>(100%)</w:t>
            </w:r>
          </w:p>
        </w:tc>
        <w:tc>
          <w:tcPr>
            <w:tcW w:w="3191" w:type="dxa"/>
            <w:vAlign w:val="center"/>
          </w:tcPr>
          <w:p w14:paraId="099E29A4" w14:textId="77777777" w:rsidR="004875DF" w:rsidRPr="004875DF" w:rsidRDefault="004875DF" w:rsidP="004875DF">
            <w:pPr>
              <w:pStyle w:val="TableParagraph"/>
              <w:spacing w:after="120" w:line="273" w:lineRule="exact"/>
              <w:ind w:left="110"/>
              <w:jc w:val="center"/>
              <w:rPr>
                <w:b/>
                <w:sz w:val="24"/>
                <w:szCs w:val="24"/>
              </w:rPr>
            </w:pPr>
            <w:r w:rsidRPr="004875DF">
              <w:rPr>
                <w:b/>
                <w:sz w:val="24"/>
                <w:szCs w:val="24"/>
              </w:rPr>
              <w:t>1 020 000,00 лв.</w:t>
            </w:r>
          </w:p>
          <w:p w14:paraId="211901DF" w14:textId="13B01CEC" w:rsidR="004875DF" w:rsidRPr="004875DF" w:rsidRDefault="004875DF" w:rsidP="004875DF">
            <w:pPr>
              <w:pStyle w:val="Default"/>
              <w:spacing w:after="120"/>
              <w:jc w:val="center"/>
              <w:rPr>
                <w:b/>
              </w:rPr>
            </w:pPr>
            <w:r w:rsidRPr="004875DF">
              <w:rPr>
                <w:rFonts w:eastAsia="Times New Roman"/>
                <w:b/>
                <w:lang w:eastAsia="bg-BG"/>
              </w:rPr>
              <w:t>(85%)</w:t>
            </w:r>
          </w:p>
        </w:tc>
        <w:tc>
          <w:tcPr>
            <w:tcW w:w="3933" w:type="dxa"/>
            <w:vAlign w:val="center"/>
          </w:tcPr>
          <w:p w14:paraId="7C8FEBF3" w14:textId="77777777" w:rsidR="004875DF" w:rsidRPr="004875DF" w:rsidRDefault="004875DF" w:rsidP="004875DF">
            <w:pPr>
              <w:pStyle w:val="TableParagraph"/>
              <w:spacing w:after="120" w:line="273" w:lineRule="exact"/>
              <w:ind w:left="108"/>
              <w:jc w:val="center"/>
              <w:rPr>
                <w:b/>
                <w:sz w:val="24"/>
                <w:szCs w:val="24"/>
              </w:rPr>
            </w:pPr>
            <w:r w:rsidRPr="004875DF">
              <w:rPr>
                <w:b/>
                <w:sz w:val="24"/>
                <w:szCs w:val="24"/>
              </w:rPr>
              <w:t>180 000,00 лв.</w:t>
            </w:r>
          </w:p>
          <w:p w14:paraId="06DE0320" w14:textId="385BBEEA" w:rsidR="004875DF" w:rsidRPr="004875DF" w:rsidRDefault="004875DF" w:rsidP="004875DF">
            <w:pPr>
              <w:pStyle w:val="Default"/>
              <w:spacing w:after="120"/>
              <w:jc w:val="center"/>
              <w:rPr>
                <w:b/>
              </w:rPr>
            </w:pPr>
            <w:r w:rsidRPr="004875DF">
              <w:rPr>
                <w:rFonts w:eastAsia="Times New Roman"/>
                <w:b/>
                <w:lang w:eastAsia="bg-BG"/>
              </w:rPr>
              <w:t>(15%)</w:t>
            </w:r>
          </w:p>
        </w:tc>
      </w:tr>
    </w:tbl>
    <w:p w14:paraId="7FBB338C" w14:textId="4BB57F70" w:rsidR="00206907" w:rsidRPr="004875DF" w:rsidRDefault="00206907" w:rsidP="00206907">
      <w:pPr>
        <w:pStyle w:val="a4"/>
        <w:spacing w:before="90"/>
        <w:ind w:left="360"/>
        <w:rPr>
          <w:b/>
          <w:sz w:val="24"/>
          <w:szCs w:val="24"/>
        </w:rPr>
      </w:pPr>
    </w:p>
    <w:p w14:paraId="47740ED3" w14:textId="77777777" w:rsidR="00206907" w:rsidRPr="004875DF" w:rsidRDefault="00206907" w:rsidP="003B7B44">
      <w:pPr>
        <w:spacing w:after="120"/>
        <w:jc w:val="both"/>
        <w:rPr>
          <w:sz w:val="24"/>
        </w:rPr>
      </w:pPr>
      <w:r w:rsidRPr="004875DF">
        <w:rPr>
          <w:sz w:val="24"/>
        </w:rPr>
        <w:lastRenderedPageBreak/>
        <w:t>Всеки кандидат може да кандидатства за безвъзмездна финансова помощ като изготвеният от него проект, трябва да се вмества в следните минимални и максимални граници:</w:t>
      </w:r>
    </w:p>
    <w:p w14:paraId="4A69910A" w14:textId="1189DA52" w:rsidR="00206907" w:rsidRPr="004875DF" w:rsidRDefault="00206907" w:rsidP="003B7B44">
      <w:pPr>
        <w:pStyle w:val="a4"/>
        <w:numPr>
          <w:ilvl w:val="0"/>
          <w:numId w:val="17"/>
        </w:numPr>
        <w:spacing w:after="120"/>
        <w:jc w:val="both"/>
        <w:rPr>
          <w:rFonts w:eastAsia="Calibri"/>
          <w:sz w:val="24"/>
          <w:szCs w:val="24"/>
        </w:rPr>
      </w:pPr>
      <w:r w:rsidRPr="004875DF">
        <w:rPr>
          <w:b/>
          <w:sz w:val="24"/>
        </w:rPr>
        <w:t>Минимален размер на безвъзмездната финансова помощ за проект: 50 000,00 лева;</w:t>
      </w:r>
    </w:p>
    <w:p w14:paraId="4EEE1083" w14:textId="029A049F" w:rsidR="00206907" w:rsidRPr="004875DF" w:rsidRDefault="00206907" w:rsidP="003B7B44">
      <w:pPr>
        <w:pStyle w:val="a4"/>
        <w:numPr>
          <w:ilvl w:val="0"/>
          <w:numId w:val="17"/>
        </w:numPr>
        <w:spacing w:after="120"/>
        <w:jc w:val="both"/>
        <w:rPr>
          <w:rFonts w:eastAsia="Calibri"/>
          <w:sz w:val="24"/>
          <w:szCs w:val="24"/>
        </w:rPr>
      </w:pPr>
      <w:r w:rsidRPr="004875DF">
        <w:rPr>
          <w:b/>
          <w:sz w:val="24"/>
        </w:rPr>
        <w:t>Максимален размер на безвъзмездната</w:t>
      </w:r>
      <w:r w:rsidRPr="004875DF">
        <w:rPr>
          <w:b/>
          <w:spacing w:val="-6"/>
          <w:sz w:val="24"/>
        </w:rPr>
        <w:t xml:space="preserve"> </w:t>
      </w:r>
      <w:r w:rsidRPr="004875DF">
        <w:rPr>
          <w:b/>
          <w:sz w:val="24"/>
        </w:rPr>
        <w:t>финансова</w:t>
      </w:r>
      <w:r w:rsidRPr="004875DF">
        <w:rPr>
          <w:b/>
          <w:spacing w:val="-2"/>
          <w:sz w:val="24"/>
        </w:rPr>
        <w:t xml:space="preserve"> </w:t>
      </w:r>
      <w:r w:rsidRPr="004875DF">
        <w:rPr>
          <w:b/>
          <w:sz w:val="24"/>
        </w:rPr>
        <w:t xml:space="preserve">помощ: </w:t>
      </w:r>
      <w:r w:rsidR="004875DF" w:rsidRPr="004875DF">
        <w:rPr>
          <w:b/>
          <w:sz w:val="24"/>
        </w:rPr>
        <w:t xml:space="preserve">200 000,00 </w:t>
      </w:r>
      <w:r w:rsidRPr="004875DF">
        <w:rPr>
          <w:b/>
          <w:sz w:val="24"/>
        </w:rPr>
        <w:t>лева.</w:t>
      </w:r>
    </w:p>
    <w:p w14:paraId="31130214" w14:textId="0F17C7F6" w:rsidR="00206907" w:rsidRPr="002E7753" w:rsidRDefault="00206907" w:rsidP="003B7B44">
      <w:pPr>
        <w:spacing w:after="120"/>
        <w:jc w:val="both"/>
        <w:rPr>
          <w:b/>
          <w:sz w:val="24"/>
          <w:szCs w:val="24"/>
        </w:rPr>
      </w:pPr>
      <w:r w:rsidRPr="004875DF">
        <w:rPr>
          <w:sz w:val="24"/>
          <w:szCs w:val="24"/>
        </w:rPr>
        <w:t xml:space="preserve">Максималният интензитет на Безвъзмездната финансова помощ за финансиране на мярка </w:t>
      </w:r>
      <w:r w:rsidR="004875DF" w:rsidRPr="004875DF">
        <w:rPr>
          <w:sz w:val="24"/>
          <w:szCs w:val="24"/>
        </w:rPr>
        <w:t>2.2. „Подобряване на производствения капацитет в МСП“</w:t>
      </w:r>
      <w:r w:rsidR="004875DF" w:rsidRPr="004875DF">
        <w:rPr>
          <w:b/>
          <w:sz w:val="24"/>
          <w:szCs w:val="24"/>
        </w:rPr>
        <w:t xml:space="preserve"> </w:t>
      </w:r>
      <w:r w:rsidRPr="004875DF">
        <w:rPr>
          <w:sz w:val="24"/>
          <w:szCs w:val="24"/>
        </w:rPr>
        <w:t xml:space="preserve">е </w:t>
      </w:r>
      <w:r w:rsidRPr="004875DF">
        <w:rPr>
          <w:b/>
          <w:sz w:val="24"/>
          <w:szCs w:val="24"/>
        </w:rPr>
        <w:t xml:space="preserve">до 90 % от общата стойност на допустимите разходи по проекта </w:t>
      </w:r>
      <w:r w:rsidRPr="004875DF">
        <w:rPr>
          <w:sz w:val="24"/>
          <w:szCs w:val="24"/>
        </w:rPr>
        <w:t>за всички допустими по процедурата категории предприятия</w:t>
      </w:r>
      <w:r w:rsidRPr="004875DF">
        <w:rPr>
          <w:b/>
          <w:sz w:val="24"/>
          <w:szCs w:val="24"/>
        </w:rPr>
        <w:t>.</w:t>
      </w:r>
    </w:p>
    <w:p w14:paraId="7BDD39CF" w14:textId="77777777" w:rsidR="00206907" w:rsidRPr="00FF085F" w:rsidRDefault="00206907" w:rsidP="003B7B44">
      <w:pPr>
        <w:spacing w:after="120"/>
        <w:jc w:val="both"/>
        <w:rPr>
          <w:rFonts w:eastAsia="Calibri"/>
          <w:bCs/>
          <w:sz w:val="24"/>
          <w:szCs w:val="24"/>
        </w:rPr>
      </w:pPr>
      <w:r w:rsidRPr="00FF085F">
        <w:rPr>
          <w:rFonts w:eastAsia="Calibri"/>
          <w:bCs/>
          <w:sz w:val="24"/>
          <w:szCs w:val="24"/>
        </w:rPr>
        <w:t xml:space="preserve">Максималният размер на помощта по режим </w:t>
      </w:r>
      <w:proofErr w:type="spellStart"/>
      <w:r w:rsidRPr="00FF085F">
        <w:rPr>
          <w:rFonts w:eastAsia="Calibri"/>
          <w:bCs/>
          <w:sz w:val="24"/>
          <w:szCs w:val="24"/>
        </w:rPr>
        <w:t>de</w:t>
      </w:r>
      <w:proofErr w:type="spellEnd"/>
      <w:r w:rsidRPr="00FF085F">
        <w:rPr>
          <w:rFonts w:eastAsia="Calibri"/>
          <w:bCs/>
          <w:sz w:val="24"/>
          <w:szCs w:val="24"/>
        </w:rPr>
        <w:t xml:space="preserve"> </w:t>
      </w:r>
      <w:proofErr w:type="spellStart"/>
      <w:r w:rsidRPr="00FF085F">
        <w:rPr>
          <w:rFonts w:eastAsia="Calibri"/>
          <w:bCs/>
          <w:sz w:val="24"/>
          <w:szCs w:val="24"/>
        </w:rPr>
        <w:t>minimis</w:t>
      </w:r>
      <w:proofErr w:type="spellEnd"/>
      <w:r w:rsidRPr="00FF085F">
        <w:rPr>
          <w:rFonts w:eastAsia="Calibri"/>
          <w:bCs/>
          <w:sz w:val="24"/>
          <w:szCs w:val="24"/>
        </w:rPr>
        <w:t>, за която се кандидатства, заедно с другите получени минимални помощи, не може да надхвърля левовата равностойност на 200 000 евро и съответно левовата равностойност на 100 000 евро, в случай на едно и също предприятие</w:t>
      </w:r>
      <w:r w:rsidRPr="00FF085F">
        <w:rPr>
          <w:vertAlign w:val="superscript"/>
        </w:rPr>
        <w:footnoteReference w:id="1"/>
      </w:r>
      <w:r w:rsidRPr="00FF085F">
        <w:rPr>
          <w:rFonts w:eastAsia="Calibri"/>
          <w:bCs/>
          <w:sz w:val="24"/>
          <w:szCs w:val="24"/>
        </w:rPr>
        <w:t>, което осъществява автомобилни товарни превози за чужда сметка за период от три финансови години.</w:t>
      </w:r>
    </w:p>
    <w:p w14:paraId="0CE6D604" w14:textId="77777777" w:rsidR="00206907" w:rsidRDefault="00206907" w:rsidP="00206907">
      <w:pPr>
        <w:pStyle w:val="a4"/>
        <w:spacing w:before="90"/>
        <w:ind w:left="360"/>
        <w:rPr>
          <w:b/>
          <w:sz w:val="24"/>
          <w:szCs w:val="24"/>
        </w:rPr>
      </w:pPr>
    </w:p>
    <w:p w14:paraId="5B37D5AE" w14:textId="3036A138" w:rsidR="00E02096" w:rsidRDefault="00E02096" w:rsidP="006A4DEF">
      <w:pPr>
        <w:pStyle w:val="2"/>
        <w:numPr>
          <w:ilvl w:val="0"/>
          <w:numId w:val="12"/>
        </w:numPr>
        <w:rPr>
          <w:color w:val="548DD4" w:themeColor="text2" w:themeTint="99"/>
        </w:rPr>
      </w:pPr>
      <w:r>
        <w:rPr>
          <w:color w:val="548DD4" w:themeColor="text2" w:themeTint="99"/>
        </w:rPr>
        <w:t xml:space="preserve">Режим на минимална помощ </w:t>
      </w:r>
    </w:p>
    <w:p w14:paraId="7F8E26BC" w14:textId="77777777" w:rsidR="00B52951" w:rsidRPr="00B52951" w:rsidRDefault="00B52951" w:rsidP="00947F3C">
      <w:pPr>
        <w:spacing w:before="120" w:after="120"/>
        <w:jc w:val="both"/>
        <w:rPr>
          <w:sz w:val="24"/>
          <w:szCs w:val="24"/>
        </w:rPr>
      </w:pPr>
      <w:r w:rsidRPr="00B52951">
        <w:rPr>
          <w:sz w:val="24"/>
          <w:szCs w:val="24"/>
        </w:rPr>
        <w:t xml:space="preserve">Максималният размер на помощта по режим </w:t>
      </w:r>
      <w:proofErr w:type="spellStart"/>
      <w:r w:rsidRPr="00B52951">
        <w:rPr>
          <w:sz w:val="24"/>
          <w:szCs w:val="24"/>
        </w:rPr>
        <w:t>de</w:t>
      </w:r>
      <w:proofErr w:type="spellEnd"/>
      <w:r w:rsidRPr="00B52951">
        <w:rPr>
          <w:sz w:val="24"/>
          <w:szCs w:val="24"/>
        </w:rPr>
        <w:t xml:space="preserve"> </w:t>
      </w:r>
      <w:proofErr w:type="spellStart"/>
      <w:r w:rsidRPr="00B52951">
        <w:rPr>
          <w:sz w:val="24"/>
          <w:szCs w:val="24"/>
        </w:rPr>
        <w:t>minimis</w:t>
      </w:r>
      <w:proofErr w:type="spellEnd"/>
      <w:r w:rsidRPr="00B52951">
        <w:rPr>
          <w:sz w:val="24"/>
          <w:szCs w:val="24"/>
        </w:rPr>
        <w:t>, за която се кандидатства, заедно с другите получени минимални помощи, не може да надхвърля левовата равностойност на 200 000 евро и съответно левовата равностойност на 100 000 евро, в случай на „едно и също предприятие“</w:t>
      </w:r>
      <w:r w:rsidRPr="00B52951">
        <w:rPr>
          <w:sz w:val="24"/>
          <w:szCs w:val="24"/>
          <w:vertAlign w:val="superscript"/>
        </w:rPr>
        <w:footnoteReference w:id="2"/>
      </w:r>
      <w:r w:rsidRPr="00B52951">
        <w:rPr>
          <w:sz w:val="24"/>
          <w:szCs w:val="24"/>
        </w:rPr>
        <w:t xml:space="preserve"> , което осъществява автомобилни товарни превози за чужда сметка за период от три приключени бюджетни години – текущата и предходните две.</w:t>
      </w:r>
    </w:p>
    <w:p w14:paraId="0B70FC3A" w14:textId="77777777" w:rsidR="00B52951" w:rsidRPr="00B52951" w:rsidRDefault="00B52951" w:rsidP="00947F3C">
      <w:pPr>
        <w:spacing w:before="120" w:after="120"/>
        <w:jc w:val="both"/>
        <w:rPr>
          <w:sz w:val="24"/>
          <w:szCs w:val="24"/>
        </w:rPr>
      </w:pPr>
      <w:r w:rsidRPr="00B52951">
        <w:rPr>
          <w:sz w:val="24"/>
          <w:szCs w:val="24"/>
        </w:rPr>
        <w:t xml:space="preserve">Ако дадено предприятие изпълнява автомобилни товарни превози за чужда сметка или срещу възнаграждение, както и ако извършва други дейности, за които се прилага таванът от 200 000 </w:t>
      </w:r>
      <w:r w:rsidRPr="00B52951">
        <w:rPr>
          <w:sz w:val="24"/>
          <w:szCs w:val="24"/>
          <w:lang w:val="en-GB"/>
        </w:rPr>
        <w:t>EUR</w:t>
      </w:r>
      <w:r w:rsidRPr="00B52951">
        <w:rPr>
          <w:sz w:val="24"/>
          <w:szCs w:val="24"/>
        </w:rPr>
        <w:t xml:space="preserve">, таванът от 200 000 </w:t>
      </w:r>
      <w:r w:rsidRPr="00B52951">
        <w:rPr>
          <w:sz w:val="24"/>
          <w:szCs w:val="24"/>
          <w:lang w:val="en-GB"/>
        </w:rPr>
        <w:t>EUR</w:t>
      </w:r>
      <w:r w:rsidRPr="00B52951">
        <w:rPr>
          <w:sz w:val="24"/>
          <w:szCs w:val="24"/>
        </w:rPr>
        <w:t xml:space="preserve"> се прилага за предприятието, при условие че съответната държава членка гарантира посредством подходящи средства, като например отделяне на дейностите или разграничаване на разходите, че помощите за дейността по автомобилни товарни превози не надвишават 100 000 </w:t>
      </w:r>
      <w:r w:rsidRPr="00B52951">
        <w:rPr>
          <w:sz w:val="24"/>
          <w:szCs w:val="24"/>
          <w:lang w:val="en-GB"/>
        </w:rPr>
        <w:t>EUR</w:t>
      </w:r>
      <w:r w:rsidRPr="00B52951">
        <w:rPr>
          <w:sz w:val="24"/>
          <w:szCs w:val="24"/>
        </w:rPr>
        <w:t xml:space="preserve"> и че помощите </w:t>
      </w:r>
      <w:r w:rsidRPr="00B52951">
        <w:rPr>
          <w:sz w:val="24"/>
          <w:szCs w:val="24"/>
          <w:lang w:val="en-GB"/>
        </w:rPr>
        <w:t>de</w:t>
      </w:r>
      <w:r w:rsidRPr="00B52951">
        <w:rPr>
          <w:sz w:val="24"/>
          <w:szCs w:val="24"/>
        </w:rPr>
        <w:t xml:space="preserve"> </w:t>
      </w:r>
      <w:proofErr w:type="spellStart"/>
      <w:r w:rsidRPr="00B52951">
        <w:rPr>
          <w:sz w:val="24"/>
          <w:szCs w:val="24"/>
          <w:lang w:val="en-GB"/>
        </w:rPr>
        <w:t>minimis</w:t>
      </w:r>
      <w:proofErr w:type="spellEnd"/>
      <w:r w:rsidRPr="00B52951">
        <w:rPr>
          <w:sz w:val="24"/>
          <w:szCs w:val="24"/>
        </w:rPr>
        <w:t xml:space="preserve"> не се използват за придобиване на товарни автомобили. </w:t>
      </w:r>
    </w:p>
    <w:p w14:paraId="0888EF5A" w14:textId="77777777" w:rsidR="00B52951" w:rsidRPr="00B52951" w:rsidRDefault="00B52951" w:rsidP="00947F3C">
      <w:pPr>
        <w:spacing w:before="120" w:after="120"/>
        <w:jc w:val="both"/>
        <w:rPr>
          <w:sz w:val="24"/>
          <w:szCs w:val="24"/>
        </w:rPr>
      </w:pPr>
      <w:r w:rsidRPr="00B52951">
        <w:rPr>
          <w:sz w:val="24"/>
          <w:szCs w:val="24"/>
        </w:rPr>
        <w:t xml:space="preserve">Таваните, посочени в чл. 3, параграф 2 на Регламент (ЕС) № 1407/2013, се прилагат независимо от формата на помощта </w:t>
      </w:r>
      <w:r w:rsidRPr="00B52951">
        <w:rPr>
          <w:sz w:val="24"/>
          <w:szCs w:val="24"/>
          <w:lang w:val="en-GB"/>
        </w:rPr>
        <w:t>de</w:t>
      </w:r>
      <w:r w:rsidRPr="00B52951">
        <w:rPr>
          <w:sz w:val="24"/>
          <w:szCs w:val="24"/>
        </w:rPr>
        <w:t xml:space="preserve"> </w:t>
      </w:r>
      <w:proofErr w:type="spellStart"/>
      <w:r w:rsidRPr="00B52951">
        <w:rPr>
          <w:sz w:val="24"/>
          <w:szCs w:val="24"/>
          <w:lang w:val="en-GB"/>
        </w:rPr>
        <w:t>minimis</w:t>
      </w:r>
      <w:proofErr w:type="spellEnd"/>
      <w:r w:rsidRPr="00B52951">
        <w:rPr>
          <w:sz w:val="24"/>
          <w:szCs w:val="24"/>
        </w:rPr>
        <w:t xml:space="preserve"> или от преследваната цел и без значение дали предоставената от държавата членка помощ се финансира изцяло или частично със средства, произхождащи от Съюза. Периодът от три бюджетни години се определя според бюджетните години, използвани от </w:t>
      </w:r>
      <w:r w:rsidRPr="00B52951">
        <w:rPr>
          <w:sz w:val="24"/>
          <w:szCs w:val="24"/>
        </w:rPr>
        <w:lastRenderedPageBreak/>
        <w:t>предприятието в съответната държава членка.</w:t>
      </w:r>
    </w:p>
    <w:p w14:paraId="0852FE9B" w14:textId="77777777" w:rsidR="00B52951" w:rsidRPr="00B52951" w:rsidRDefault="00B52951" w:rsidP="00947F3C">
      <w:pPr>
        <w:spacing w:before="120" w:after="120"/>
        <w:jc w:val="both"/>
        <w:rPr>
          <w:sz w:val="24"/>
          <w:szCs w:val="24"/>
        </w:rPr>
      </w:pPr>
      <w:r w:rsidRPr="00B52951">
        <w:rPr>
          <w:sz w:val="24"/>
          <w:szCs w:val="24"/>
        </w:rPr>
        <w:t>Предоставената по настоящата процедура помощ “</w:t>
      </w:r>
      <w:r w:rsidRPr="00B52951">
        <w:rPr>
          <w:sz w:val="24"/>
          <w:szCs w:val="24"/>
          <w:lang w:val="en-GB"/>
        </w:rPr>
        <w:t>de</w:t>
      </w:r>
      <w:r w:rsidRPr="00B52951">
        <w:rPr>
          <w:sz w:val="24"/>
          <w:szCs w:val="24"/>
        </w:rPr>
        <w:t xml:space="preserve"> </w:t>
      </w:r>
      <w:proofErr w:type="spellStart"/>
      <w:r w:rsidRPr="00B52951">
        <w:rPr>
          <w:sz w:val="24"/>
          <w:szCs w:val="24"/>
          <w:lang w:val="en-GB"/>
        </w:rPr>
        <w:t>minimis</w:t>
      </w:r>
      <w:proofErr w:type="spellEnd"/>
      <w:r w:rsidRPr="00B52951">
        <w:rPr>
          <w:sz w:val="24"/>
          <w:szCs w:val="24"/>
        </w:rPr>
        <w:t xml:space="preserve">” съгласно Регламент (ЕС) № 1407/2013 може да се </w:t>
      </w:r>
      <w:proofErr w:type="spellStart"/>
      <w:r w:rsidRPr="00B52951">
        <w:rPr>
          <w:sz w:val="24"/>
          <w:szCs w:val="24"/>
        </w:rPr>
        <w:t>кумулира</w:t>
      </w:r>
      <w:proofErr w:type="spellEnd"/>
      <w:r w:rsidRPr="00B52951">
        <w:rPr>
          <w:sz w:val="24"/>
          <w:szCs w:val="24"/>
        </w:rPr>
        <w:t xml:space="preserve"> с помощ </w:t>
      </w:r>
      <w:r w:rsidRPr="00B52951">
        <w:rPr>
          <w:sz w:val="24"/>
          <w:szCs w:val="24"/>
          <w:lang w:val="en-GB"/>
        </w:rPr>
        <w:t>de</w:t>
      </w:r>
      <w:r w:rsidRPr="00B52951">
        <w:rPr>
          <w:sz w:val="24"/>
          <w:szCs w:val="24"/>
        </w:rPr>
        <w:t xml:space="preserve"> </w:t>
      </w:r>
      <w:proofErr w:type="spellStart"/>
      <w:r w:rsidRPr="00B52951">
        <w:rPr>
          <w:sz w:val="24"/>
          <w:szCs w:val="24"/>
          <w:lang w:val="en-GB"/>
        </w:rPr>
        <w:t>minimis</w:t>
      </w:r>
      <w:proofErr w:type="spellEnd"/>
      <w:r w:rsidRPr="00B52951">
        <w:rPr>
          <w:sz w:val="24"/>
          <w:szCs w:val="24"/>
        </w:rPr>
        <w:t xml:space="preserve">: </w:t>
      </w:r>
    </w:p>
    <w:p w14:paraId="72FE288B" w14:textId="289F1502" w:rsidR="00B52951" w:rsidRPr="00947F3C" w:rsidRDefault="00B52951" w:rsidP="00947F3C">
      <w:pPr>
        <w:pStyle w:val="a4"/>
        <w:numPr>
          <w:ilvl w:val="0"/>
          <w:numId w:val="18"/>
        </w:numPr>
        <w:spacing w:before="120" w:after="120"/>
        <w:jc w:val="both"/>
        <w:rPr>
          <w:sz w:val="24"/>
          <w:szCs w:val="24"/>
        </w:rPr>
      </w:pPr>
      <w:r w:rsidRPr="00947F3C">
        <w:rPr>
          <w:sz w:val="24"/>
          <w:szCs w:val="24"/>
        </w:rPr>
        <w:t>предоставена съгласно Регламент (ЕС) № 360/2012 на Комисията до тавана, установен в посочения регламент;</w:t>
      </w:r>
    </w:p>
    <w:p w14:paraId="1B664B18" w14:textId="27BACF49" w:rsidR="00B52951" w:rsidRPr="00947F3C" w:rsidRDefault="00B52951" w:rsidP="00947F3C">
      <w:pPr>
        <w:pStyle w:val="a4"/>
        <w:numPr>
          <w:ilvl w:val="0"/>
          <w:numId w:val="18"/>
        </w:numPr>
        <w:spacing w:before="120" w:after="120"/>
        <w:jc w:val="both"/>
        <w:rPr>
          <w:sz w:val="24"/>
          <w:szCs w:val="24"/>
        </w:rPr>
      </w:pPr>
      <w:r w:rsidRPr="00947F3C">
        <w:rPr>
          <w:sz w:val="24"/>
          <w:szCs w:val="24"/>
        </w:rPr>
        <w:t xml:space="preserve">предоставена съгласно други регламенти за помощ </w:t>
      </w:r>
      <w:r w:rsidRPr="00947F3C">
        <w:rPr>
          <w:sz w:val="24"/>
          <w:szCs w:val="24"/>
          <w:lang w:val="en-GB"/>
        </w:rPr>
        <w:t>de</w:t>
      </w:r>
      <w:r w:rsidRPr="00947F3C">
        <w:rPr>
          <w:sz w:val="24"/>
          <w:szCs w:val="24"/>
        </w:rPr>
        <w:t xml:space="preserve"> </w:t>
      </w:r>
      <w:proofErr w:type="spellStart"/>
      <w:r w:rsidRPr="00947F3C">
        <w:rPr>
          <w:sz w:val="24"/>
          <w:szCs w:val="24"/>
          <w:lang w:val="en-GB"/>
        </w:rPr>
        <w:t>minimis</w:t>
      </w:r>
      <w:proofErr w:type="spellEnd"/>
      <w:r w:rsidRPr="00947F3C">
        <w:rPr>
          <w:sz w:val="24"/>
          <w:szCs w:val="24"/>
        </w:rPr>
        <w:t>, до съответния таван, определен в член 3, параграф 2 от Регламент (ЕС) № 1407/2013.</w:t>
      </w:r>
    </w:p>
    <w:p w14:paraId="3E5B8F17" w14:textId="77777777" w:rsidR="00B52951" w:rsidRPr="00B52951" w:rsidRDefault="00B52951" w:rsidP="00B52951">
      <w:pPr>
        <w:tabs>
          <w:tab w:val="left" w:pos="284"/>
        </w:tabs>
        <w:spacing w:before="120" w:after="120"/>
        <w:jc w:val="both"/>
        <w:rPr>
          <w:sz w:val="24"/>
          <w:szCs w:val="24"/>
        </w:rPr>
      </w:pPr>
      <w:r w:rsidRPr="00B52951">
        <w:rPr>
          <w:b/>
          <w:bCs/>
          <w:sz w:val="24"/>
          <w:szCs w:val="24"/>
        </w:rPr>
        <w:t xml:space="preserve">Система за наблюдение на натрупването на помощи: </w:t>
      </w:r>
    </w:p>
    <w:p w14:paraId="598D481C" w14:textId="77777777" w:rsidR="00B52951" w:rsidRPr="00B52951" w:rsidRDefault="00B52951" w:rsidP="00B52951">
      <w:pPr>
        <w:widowControl/>
        <w:numPr>
          <w:ilvl w:val="0"/>
          <w:numId w:val="14"/>
        </w:numPr>
        <w:tabs>
          <w:tab w:val="left" w:pos="284"/>
        </w:tabs>
        <w:autoSpaceDE/>
        <w:autoSpaceDN/>
        <w:spacing w:before="120" w:after="120"/>
        <w:jc w:val="both"/>
        <w:rPr>
          <w:sz w:val="24"/>
          <w:szCs w:val="24"/>
        </w:rPr>
      </w:pPr>
      <w:r w:rsidRPr="00B52951">
        <w:rPr>
          <w:sz w:val="24"/>
          <w:szCs w:val="24"/>
        </w:rPr>
        <w:t>Да не се допуска общият размер на минималната помощ, предоставяна на „едно и също предприятие“</w:t>
      </w:r>
      <w:r w:rsidRPr="00B52951">
        <w:rPr>
          <w:sz w:val="24"/>
          <w:szCs w:val="24"/>
          <w:vertAlign w:val="superscript"/>
          <w:lang w:val="en-GB"/>
        </w:rPr>
        <w:footnoteReference w:id="3"/>
      </w:r>
      <w:r w:rsidRPr="00B52951">
        <w:rPr>
          <w:b/>
          <w:bCs/>
          <w:sz w:val="24"/>
          <w:szCs w:val="24"/>
        </w:rPr>
        <w:t xml:space="preserve"> </w:t>
      </w:r>
      <w:r w:rsidRPr="00B52951">
        <w:rPr>
          <w:sz w:val="24"/>
          <w:szCs w:val="24"/>
        </w:rPr>
        <w:t>в България след натрупване с други минимални помощи, получени от предприятието за три поредни приключени бюджетни години да надхвърли левовата равностойност на 200 000 евро, а за отрасъл „шосеен транспорт” - левовата равностойност на 100 000 евро.</w:t>
      </w:r>
    </w:p>
    <w:p w14:paraId="1C144373" w14:textId="6580A5C7" w:rsidR="00B52951" w:rsidRPr="00B52951" w:rsidRDefault="00B52951" w:rsidP="00B52951">
      <w:pPr>
        <w:widowControl/>
        <w:numPr>
          <w:ilvl w:val="0"/>
          <w:numId w:val="14"/>
        </w:numPr>
        <w:tabs>
          <w:tab w:val="left" w:pos="284"/>
        </w:tabs>
        <w:autoSpaceDE/>
        <w:autoSpaceDN/>
        <w:spacing w:before="120" w:after="120"/>
        <w:jc w:val="both"/>
        <w:rPr>
          <w:sz w:val="24"/>
          <w:szCs w:val="24"/>
        </w:rPr>
      </w:pPr>
      <w:r w:rsidRPr="00B52951">
        <w:rPr>
          <w:sz w:val="24"/>
          <w:szCs w:val="24"/>
        </w:rPr>
        <w:t>Последствията при не</w:t>
      </w:r>
      <w:r w:rsidR="00EB0A10">
        <w:rPr>
          <w:sz w:val="24"/>
          <w:szCs w:val="24"/>
        </w:rPr>
        <w:t>спазване на забраната по т.„1” -</w:t>
      </w:r>
      <w:r w:rsidRPr="00B52951">
        <w:rPr>
          <w:sz w:val="24"/>
          <w:szCs w:val="24"/>
        </w:rPr>
        <w:t xml:space="preserve"> отказване на помощта, служебно намаляване на помощта или възстановяване на неправомерно предоставена помощ по реда на Данъчно-осигурителния процесуален кодекс.</w:t>
      </w:r>
    </w:p>
    <w:p w14:paraId="506C4E1F" w14:textId="77777777" w:rsidR="00B52951" w:rsidRPr="00B52951" w:rsidRDefault="00B52951" w:rsidP="00B52951">
      <w:pPr>
        <w:widowControl/>
        <w:numPr>
          <w:ilvl w:val="0"/>
          <w:numId w:val="14"/>
        </w:numPr>
        <w:tabs>
          <w:tab w:val="left" w:pos="284"/>
        </w:tabs>
        <w:autoSpaceDE/>
        <w:autoSpaceDN/>
        <w:spacing w:before="120" w:after="120"/>
        <w:jc w:val="both"/>
        <w:rPr>
          <w:sz w:val="24"/>
          <w:szCs w:val="24"/>
        </w:rPr>
      </w:pPr>
      <w:r w:rsidRPr="00B52951">
        <w:rPr>
          <w:sz w:val="24"/>
          <w:szCs w:val="24"/>
        </w:rPr>
        <w:t>Изискване за представяне от кандидата (при кандидатстване и преди сключване на договора, в случай че кандидатът бъде одобрен и в случай, че е настъпила промяна в декларираните при кандидатстване обстоятелства) на декларация по образец в писмена форма относно получаването на други минимални помощи през двете предшестващи приключени бюджетни години и през текущата година;</w:t>
      </w:r>
    </w:p>
    <w:p w14:paraId="65FDCFB4" w14:textId="77777777" w:rsidR="00B52951" w:rsidRPr="00B52951" w:rsidRDefault="00B52951" w:rsidP="00B52951">
      <w:pPr>
        <w:widowControl/>
        <w:numPr>
          <w:ilvl w:val="0"/>
          <w:numId w:val="14"/>
        </w:numPr>
        <w:tabs>
          <w:tab w:val="left" w:pos="284"/>
        </w:tabs>
        <w:autoSpaceDE/>
        <w:autoSpaceDN/>
        <w:spacing w:before="120" w:after="120"/>
        <w:jc w:val="both"/>
        <w:rPr>
          <w:sz w:val="24"/>
          <w:szCs w:val="24"/>
        </w:rPr>
      </w:pPr>
      <w:r w:rsidRPr="00B52951">
        <w:rPr>
          <w:sz w:val="24"/>
          <w:szCs w:val="24"/>
        </w:rPr>
        <w:t>Проекта на административен договор за безвъзмездна финансова помощ, приложение към условията за изпълнение, следва задължително да съдържа информация относно вида на отпуснатата помощ, както и за възможните последствия от предоставянето й, включително условията за натрупване и възможността за възстановяване на неправомерно предоставена помощ по реда на Данъчно-осигурителния процесуален кодекс;</w:t>
      </w:r>
    </w:p>
    <w:p w14:paraId="5516216D" w14:textId="77777777" w:rsidR="00B52951" w:rsidRPr="00B52951" w:rsidRDefault="00B52951" w:rsidP="00B52951">
      <w:pPr>
        <w:widowControl/>
        <w:numPr>
          <w:ilvl w:val="0"/>
          <w:numId w:val="14"/>
        </w:numPr>
        <w:tabs>
          <w:tab w:val="left" w:pos="284"/>
        </w:tabs>
        <w:autoSpaceDE/>
        <w:autoSpaceDN/>
        <w:spacing w:before="120" w:after="120"/>
        <w:jc w:val="both"/>
        <w:rPr>
          <w:sz w:val="24"/>
          <w:szCs w:val="24"/>
        </w:rPr>
      </w:pPr>
      <w:r w:rsidRPr="00B52951">
        <w:rPr>
          <w:sz w:val="24"/>
          <w:szCs w:val="24"/>
        </w:rPr>
        <w:t xml:space="preserve">Изисквания при оценка на проектните предложения задължително да се проверява дали предприятията (в рамките на дефиницията за „едно и също предприятие“) са получили други минимални помощи през текущата финансова година и през двете предшестващи </w:t>
      </w:r>
      <w:r w:rsidRPr="00B52951">
        <w:rPr>
          <w:sz w:val="24"/>
          <w:szCs w:val="24"/>
        </w:rPr>
        <w:lastRenderedPageBreak/>
        <w:t xml:space="preserve">приключени бюджетни години и дали с настоящата безвъзмездна помощ ще бъде надхвърлен тавана за помощта </w:t>
      </w:r>
      <w:r w:rsidRPr="00B52951">
        <w:rPr>
          <w:i/>
          <w:iCs/>
          <w:sz w:val="24"/>
          <w:szCs w:val="24"/>
          <w:lang w:val="en-GB"/>
        </w:rPr>
        <w:t>de</w:t>
      </w:r>
      <w:r w:rsidRPr="00B52951">
        <w:rPr>
          <w:i/>
          <w:iCs/>
          <w:sz w:val="24"/>
          <w:szCs w:val="24"/>
        </w:rPr>
        <w:t xml:space="preserve"> </w:t>
      </w:r>
      <w:proofErr w:type="spellStart"/>
      <w:r w:rsidRPr="00B52951">
        <w:rPr>
          <w:i/>
          <w:iCs/>
          <w:sz w:val="24"/>
          <w:szCs w:val="24"/>
          <w:lang w:val="en-GB"/>
        </w:rPr>
        <w:t>minimis</w:t>
      </w:r>
      <w:proofErr w:type="spellEnd"/>
      <w:r w:rsidRPr="00B52951">
        <w:rPr>
          <w:i/>
          <w:iCs/>
          <w:sz w:val="24"/>
          <w:szCs w:val="24"/>
        </w:rPr>
        <w:t>.</w:t>
      </w:r>
    </w:p>
    <w:p w14:paraId="4D0D4829" w14:textId="77777777" w:rsidR="00B52951" w:rsidRPr="00B52951" w:rsidRDefault="00B52951" w:rsidP="00B52951">
      <w:pPr>
        <w:tabs>
          <w:tab w:val="left" w:pos="284"/>
        </w:tabs>
        <w:spacing w:before="120" w:after="120"/>
        <w:jc w:val="both"/>
        <w:rPr>
          <w:sz w:val="24"/>
          <w:szCs w:val="24"/>
        </w:rPr>
      </w:pPr>
      <w:r w:rsidRPr="00B52951">
        <w:rPr>
          <w:sz w:val="24"/>
          <w:szCs w:val="24"/>
        </w:rPr>
        <w:t>Размерът на получените минимални помощи се определя като сбор от помощта, за която се кандидатства и получената минимална помощ</w:t>
      </w:r>
      <w:r w:rsidRPr="00B52951">
        <w:rPr>
          <w:sz w:val="24"/>
          <w:szCs w:val="24"/>
          <w:vertAlign w:val="superscript"/>
          <w:lang w:val="en-GB"/>
        </w:rPr>
        <w:footnoteReference w:id="4"/>
      </w:r>
      <w:r w:rsidRPr="00B52951">
        <w:rPr>
          <w:sz w:val="24"/>
          <w:szCs w:val="24"/>
        </w:rPr>
        <w:t xml:space="preserve"> на територията на Република България от:</w:t>
      </w:r>
    </w:p>
    <w:p w14:paraId="11962683" w14:textId="77777777" w:rsidR="00B52951" w:rsidRPr="00B52951" w:rsidRDefault="00B52951" w:rsidP="00B52951">
      <w:pPr>
        <w:widowControl/>
        <w:numPr>
          <w:ilvl w:val="0"/>
          <w:numId w:val="15"/>
        </w:numPr>
        <w:tabs>
          <w:tab w:val="left" w:pos="266"/>
        </w:tabs>
        <w:autoSpaceDE/>
        <w:autoSpaceDN/>
        <w:spacing w:before="120" w:after="120"/>
        <w:jc w:val="both"/>
        <w:rPr>
          <w:sz w:val="24"/>
          <w:szCs w:val="24"/>
          <w:lang w:val="en-GB"/>
        </w:rPr>
      </w:pPr>
      <w:proofErr w:type="spellStart"/>
      <w:r w:rsidRPr="00B52951">
        <w:rPr>
          <w:sz w:val="24"/>
          <w:szCs w:val="24"/>
          <w:lang w:val="en-GB"/>
        </w:rPr>
        <w:t>предприятието</w:t>
      </w:r>
      <w:proofErr w:type="spellEnd"/>
      <w:r w:rsidRPr="00B52951">
        <w:rPr>
          <w:sz w:val="24"/>
          <w:szCs w:val="24"/>
          <w:lang w:val="en-GB"/>
        </w:rPr>
        <w:t xml:space="preserve"> </w:t>
      </w:r>
      <w:proofErr w:type="spellStart"/>
      <w:r w:rsidRPr="00B52951">
        <w:rPr>
          <w:sz w:val="24"/>
          <w:szCs w:val="24"/>
          <w:lang w:val="en-GB"/>
        </w:rPr>
        <w:t>кандидат</w:t>
      </w:r>
      <w:proofErr w:type="spellEnd"/>
      <w:r w:rsidRPr="00B52951">
        <w:rPr>
          <w:sz w:val="24"/>
          <w:szCs w:val="24"/>
          <w:lang w:val="en-GB"/>
        </w:rPr>
        <w:t xml:space="preserve">; </w:t>
      </w:r>
    </w:p>
    <w:p w14:paraId="48502C5B" w14:textId="77777777" w:rsidR="00B52951" w:rsidRPr="00947F3C" w:rsidRDefault="00B52951" w:rsidP="00B52951">
      <w:pPr>
        <w:widowControl/>
        <w:numPr>
          <w:ilvl w:val="0"/>
          <w:numId w:val="15"/>
        </w:numPr>
        <w:tabs>
          <w:tab w:val="left" w:pos="266"/>
        </w:tabs>
        <w:autoSpaceDE/>
        <w:autoSpaceDN/>
        <w:spacing w:before="120" w:after="120"/>
        <w:jc w:val="both"/>
        <w:rPr>
          <w:sz w:val="24"/>
          <w:szCs w:val="24"/>
        </w:rPr>
      </w:pPr>
      <w:r w:rsidRPr="00947F3C">
        <w:rPr>
          <w:sz w:val="24"/>
          <w:szCs w:val="24"/>
        </w:rPr>
        <w:t xml:space="preserve">предприятията, с които предприятието кандидат образува „едно и също предприятие“ по смисъла на чл. 2, </w:t>
      </w:r>
      <w:proofErr w:type="spellStart"/>
      <w:r w:rsidRPr="00947F3C">
        <w:rPr>
          <w:sz w:val="24"/>
          <w:szCs w:val="24"/>
        </w:rPr>
        <w:t>пар</w:t>
      </w:r>
      <w:proofErr w:type="spellEnd"/>
      <w:r w:rsidRPr="00947F3C">
        <w:rPr>
          <w:sz w:val="24"/>
          <w:szCs w:val="24"/>
        </w:rPr>
        <w:t xml:space="preserve">. 2 на Регламент (ЕС) № 1407/2013; </w:t>
      </w:r>
    </w:p>
    <w:p w14:paraId="46C284D0" w14:textId="77777777" w:rsidR="00B52951" w:rsidRPr="00947F3C" w:rsidRDefault="00B52951" w:rsidP="00B52951">
      <w:pPr>
        <w:widowControl/>
        <w:numPr>
          <w:ilvl w:val="0"/>
          <w:numId w:val="15"/>
        </w:numPr>
        <w:tabs>
          <w:tab w:val="left" w:pos="266"/>
        </w:tabs>
        <w:autoSpaceDE/>
        <w:autoSpaceDN/>
        <w:spacing w:before="120" w:after="120"/>
        <w:jc w:val="both"/>
        <w:rPr>
          <w:sz w:val="24"/>
          <w:szCs w:val="24"/>
        </w:rPr>
      </w:pPr>
      <w:r w:rsidRPr="00947F3C">
        <w:rPr>
          <w:sz w:val="24"/>
          <w:szCs w:val="24"/>
        </w:rPr>
        <w:t xml:space="preserve">всички предприятия, които са се влели, слели с или са придобити от някое от предприятията, образуващи „едно и също предприятие“ с предприятието кандидат, съгласно чл. 3, </w:t>
      </w:r>
      <w:proofErr w:type="spellStart"/>
      <w:r w:rsidRPr="00947F3C">
        <w:rPr>
          <w:sz w:val="24"/>
          <w:szCs w:val="24"/>
        </w:rPr>
        <w:t>пар</w:t>
      </w:r>
      <w:proofErr w:type="spellEnd"/>
      <w:r w:rsidRPr="00947F3C">
        <w:rPr>
          <w:sz w:val="24"/>
          <w:szCs w:val="24"/>
        </w:rPr>
        <w:t xml:space="preserve">. 8 на Регламент (ЕС) № 1407/2013; </w:t>
      </w:r>
    </w:p>
    <w:p w14:paraId="2F6DECAA" w14:textId="77777777" w:rsidR="00B52951" w:rsidRPr="00947F3C" w:rsidRDefault="00B52951" w:rsidP="00B52951">
      <w:pPr>
        <w:widowControl/>
        <w:numPr>
          <w:ilvl w:val="0"/>
          <w:numId w:val="15"/>
        </w:numPr>
        <w:tabs>
          <w:tab w:val="left" w:pos="266"/>
        </w:tabs>
        <w:autoSpaceDE/>
        <w:autoSpaceDN/>
        <w:spacing w:before="120" w:after="120"/>
        <w:jc w:val="both"/>
        <w:rPr>
          <w:sz w:val="24"/>
          <w:szCs w:val="24"/>
        </w:rPr>
      </w:pPr>
      <w:r w:rsidRPr="00947F3C">
        <w:rPr>
          <w:sz w:val="24"/>
          <w:szCs w:val="24"/>
        </w:rPr>
        <w:t xml:space="preserve">предприятията, образуващи „едно и също предприятие“ с предприятието кандидат, които са се възползвали от помощ </w:t>
      </w:r>
      <w:proofErr w:type="spellStart"/>
      <w:r w:rsidRPr="00947F3C">
        <w:rPr>
          <w:sz w:val="24"/>
          <w:szCs w:val="24"/>
        </w:rPr>
        <w:t>de</w:t>
      </w:r>
      <w:proofErr w:type="spellEnd"/>
      <w:r w:rsidRPr="00947F3C">
        <w:rPr>
          <w:sz w:val="24"/>
          <w:szCs w:val="24"/>
        </w:rPr>
        <w:t xml:space="preserve"> </w:t>
      </w:r>
      <w:proofErr w:type="spellStart"/>
      <w:r w:rsidRPr="00947F3C">
        <w:rPr>
          <w:sz w:val="24"/>
          <w:szCs w:val="24"/>
        </w:rPr>
        <w:t>minimis</w:t>
      </w:r>
      <w:proofErr w:type="spellEnd"/>
      <w:r w:rsidRPr="00947F3C">
        <w:rPr>
          <w:sz w:val="24"/>
          <w:szCs w:val="24"/>
        </w:rPr>
        <w:t xml:space="preserve">, получена преди разделяне или отделяне, съгласно чл. 3, </w:t>
      </w:r>
      <w:proofErr w:type="spellStart"/>
      <w:r w:rsidRPr="00947F3C">
        <w:rPr>
          <w:sz w:val="24"/>
          <w:szCs w:val="24"/>
        </w:rPr>
        <w:t>пар</w:t>
      </w:r>
      <w:proofErr w:type="spellEnd"/>
      <w:r w:rsidRPr="00947F3C">
        <w:rPr>
          <w:sz w:val="24"/>
          <w:szCs w:val="24"/>
        </w:rPr>
        <w:t>. 9 от Регламент (ЕС) № 1407/2013.</w:t>
      </w:r>
    </w:p>
    <w:p w14:paraId="271D0C14" w14:textId="77777777" w:rsidR="00B52951" w:rsidRPr="00947F3C" w:rsidRDefault="00B52951" w:rsidP="00B52951">
      <w:pPr>
        <w:tabs>
          <w:tab w:val="left" w:pos="284"/>
        </w:tabs>
        <w:spacing w:before="120" w:after="120"/>
        <w:jc w:val="both"/>
        <w:rPr>
          <w:sz w:val="24"/>
          <w:szCs w:val="24"/>
        </w:rPr>
      </w:pPr>
      <w:r w:rsidRPr="00947F3C">
        <w:rPr>
          <w:sz w:val="24"/>
          <w:szCs w:val="24"/>
        </w:rPr>
        <w:t xml:space="preserve">Ако дадено предприятие изпълнява автомобилни товарни превози за чужда сметка или срещу възнаграждение, както и ако извършва други дейности, за които се прилага таванът от 200 000 EUR, таванът от 200 000 EUR се прилага за предприятието, при условие че отделя дейностите или разграничава разходите за дейността по автомобилни товарни превози, която не може да надвишава 100 000 EUR. Когато с отпускането на нова помощ e надвишен </w:t>
      </w:r>
      <w:proofErr w:type="spellStart"/>
      <w:r w:rsidRPr="00947F3C">
        <w:rPr>
          <w:sz w:val="24"/>
          <w:szCs w:val="24"/>
        </w:rPr>
        <w:t>таванa</w:t>
      </w:r>
      <w:proofErr w:type="spellEnd"/>
      <w:r w:rsidRPr="00947F3C">
        <w:rPr>
          <w:sz w:val="24"/>
          <w:szCs w:val="24"/>
        </w:rPr>
        <w:t xml:space="preserve">, цялата нова помощ не може да бъде предоставяна. </w:t>
      </w:r>
    </w:p>
    <w:p w14:paraId="20651856" w14:textId="77777777" w:rsidR="00B52951" w:rsidRPr="00947F3C" w:rsidRDefault="00B52951" w:rsidP="00B52951">
      <w:pPr>
        <w:tabs>
          <w:tab w:val="left" w:pos="284"/>
        </w:tabs>
        <w:spacing w:before="120" w:after="120"/>
        <w:jc w:val="both"/>
        <w:rPr>
          <w:sz w:val="24"/>
          <w:szCs w:val="24"/>
        </w:rPr>
      </w:pPr>
      <w:r w:rsidRPr="00947F3C">
        <w:rPr>
          <w:sz w:val="24"/>
          <w:szCs w:val="24"/>
        </w:rPr>
        <w:t>За проверка на горните обстоятелства данните за получени минимални помощи трябва да бъдат надлежно посочени от кандидатите в Декларация за минимални помощи, попълнена по образец, част от Условията за кандидатстване.</w:t>
      </w:r>
    </w:p>
    <w:p w14:paraId="61635024" w14:textId="77777777" w:rsidR="00B52951" w:rsidRPr="00947F3C" w:rsidRDefault="00B52951" w:rsidP="00B52951">
      <w:pPr>
        <w:tabs>
          <w:tab w:val="left" w:pos="284"/>
        </w:tabs>
        <w:spacing w:before="120" w:after="120"/>
        <w:jc w:val="both"/>
        <w:rPr>
          <w:sz w:val="24"/>
          <w:szCs w:val="24"/>
        </w:rPr>
      </w:pPr>
      <w:r w:rsidRPr="00947F3C">
        <w:rPr>
          <w:sz w:val="24"/>
          <w:szCs w:val="24"/>
        </w:rPr>
        <w:t>Декларацията за минимални помощи се представя от кандидатите на етап кандидатстване и преди сключване на Административния договор за безвъзмездна финансова помощ.</w:t>
      </w:r>
    </w:p>
    <w:p w14:paraId="3A06580F" w14:textId="77777777" w:rsidR="00B52951" w:rsidRPr="00947F3C" w:rsidRDefault="00B52951" w:rsidP="00B52951">
      <w:pPr>
        <w:tabs>
          <w:tab w:val="left" w:pos="284"/>
        </w:tabs>
        <w:spacing w:before="120" w:after="120"/>
        <w:jc w:val="both"/>
        <w:rPr>
          <w:sz w:val="24"/>
          <w:szCs w:val="24"/>
        </w:rPr>
      </w:pPr>
      <w:r w:rsidRPr="00947F3C">
        <w:rPr>
          <w:sz w:val="24"/>
          <w:szCs w:val="24"/>
        </w:rPr>
        <w:t>Администратор на помощта е УО на ОПИК.</w:t>
      </w:r>
    </w:p>
    <w:p w14:paraId="206D0F44" w14:textId="77777777" w:rsidR="00B52951" w:rsidRPr="00947F3C" w:rsidRDefault="00B52951" w:rsidP="00947F3C">
      <w:pPr>
        <w:pStyle w:val="Default"/>
        <w:spacing w:before="120" w:after="120"/>
        <w:jc w:val="both"/>
        <w:rPr>
          <w:lang w:val="bg-BG"/>
        </w:rPr>
      </w:pPr>
      <w:r w:rsidRPr="00947F3C">
        <w:rPr>
          <w:lang w:val="bg-BG"/>
        </w:rPr>
        <w:t xml:space="preserve">Възстановяването на неправомерно предоставена помощ се извършва по реда на чл. 37 на Закона за държавните помощи. </w:t>
      </w:r>
    </w:p>
    <w:p w14:paraId="12EF790D" w14:textId="77777777" w:rsidR="00B52951" w:rsidRPr="00B52951" w:rsidRDefault="00B52951" w:rsidP="00947F3C">
      <w:pPr>
        <w:pStyle w:val="Default"/>
        <w:spacing w:before="120" w:after="120"/>
        <w:jc w:val="both"/>
        <w:rPr>
          <w:lang w:val="bg-BG"/>
        </w:rPr>
      </w:pPr>
      <w:r w:rsidRPr="00947F3C">
        <w:rPr>
          <w:lang w:val="bg-BG"/>
        </w:rPr>
        <w:t>След публикуване на Условията за кандидатстване не са допустими изменения, които могат да повлияят на съответствието на процедурата</w:t>
      </w:r>
      <w:r w:rsidRPr="00B52951">
        <w:rPr>
          <w:lang w:val="bg-BG"/>
        </w:rPr>
        <w:t xml:space="preserve"> с изискванията на Регламент на Комисията (ЕС) № 1407/2013. </w:t>
      </w:r>
    </w:p>
    <w:p w14:paraId="080396EE" w14:textId="77777777" w:rsidR="00B52951" w:rsidRPr="00B52951" w:rsidRDefault="00B52951" w:rsidP="00947F3C">
      <w:pPr>
        <w:pStyle w:val="Default"/>
        <w:spacing w:before="120" w:after="120"/>
        <w:jc w:val="both"/>
        <w:rPr>
          <w:lang w:val="bg-BG"/>
        </w:rPr>
      </w:pPr>
      <w:r w:rsidRPr="00B52951">
        <w:rPr>
          <w:lang w:val="bg-BG"/>
        </w:rPr>
        <w:t xml:space="preserve">Допълнителна информация относно приложимото законодателство в областта на държавните помощи може да бъде открита на интернет страницата на Министерство на финансите: </w:t>
      </w:r>
      <w:hyperlink r:id="rId7" w:history="1">
        <w:r w:rsidRPr="00B52951">
          <w:rPr>
            <w:rStyle w:val="a6"/>
            <w:lang w:val="en-GB"/>
          </w:rPr>
          <w:t>http</w:t>
        </w:r>
        <w:r w:rsidRPr="00B52951">
          <w:rPr>
            <w:rStyle w:val="a6"/>
            <w:lang w:val="bg-BG"/>
          </w:rPr>
          <w:t>://</w:t>
        </w:r>
        <w:proofErr w:type="spellStart"/>
        <w:r w:rsidRPr="00B52951">
          <w:rPr>
            <w:rStyle w:val="a6"/>
            <w:lang w:val="en-GB"/>
          </w:rPr>
          <w:t>stateaid</w:t>
        </w:r>
        <w:proofErr w:type="spellEnd"/>
        <w:r w:rsidRPr="00B52951">
          <w:rPr>
            <w:rStyle w:val="a6"/>
            <w:lang w:val="bg-BG"/>
          </w:rPr>
          <w:t>.</w:t>
        </w:r>
        <w:proofErr w:type="spellStart"/>
        <w:r w:rsidRPr="00B52951">
          <w:rPr>
            <w:rStyle w:val="a6"/>
            <w:lang w:val="en-GB"/>
          </w:rPr>
          <w:t>minfin</w:t>
        </w:r>
        <w:proofErr w:type="spellEnd"/>
        <w:r w:rsidRPr="00B52951">
          <w:rPr>
            <w:rStyle w:val="a6"/>
            <w:lang w:val="bg-BG"/>
          </w:rPr>
          <w:t>.</w:t>
        </w:r>
        <w:proofErr w:type="spellStart"/>
        <w:r w:rsidRPr="00B52951">
          <w:rPr>
            <w:rStyle w:val="a6"/>
            <w:lang w:val="en-GB"/>
          </w:rPr>
          <w:t>bg</w:t>
        </w:r>
        <w:proofErr w:type="spellEnd"/>
        <w:r w:rsidRPr="00B52951">
          <w:rPr>
            <w:rStyle w:val="a6"/>
            <w:lang w:val="bg-BG"/>
          </w:rPr>
          <w:t>/</w:t>
        </w:r>
      </w:hyperlink>
    </w:p>
    <w:p w14:paraId="18E76158" w14:textId="77777777" w:rsidR="00B52951" w:rsidRDefault="00B52951" w:rsidP="00B52951">
      <w:pPr>
        <w:pStyle w:val="2"/>
        <w:ind w:left="0"/>
        <w:rPr>
          <w:color w:val="548DD4" w:themeColor="text2" w:themeTint="99"/>
        </w:rPr>
      </w:pPr>
    </w:p>
    <w:p w14:paraId="45BD8A1E" w14:textId="63639E42" w:rsidR="00BA633A" w:rsidRPr="006A4DEF" w:rsidRDefault="00BA633A" w:rsidP="006A4DEF">
      <w:pPr>
        <w:pStyle w:val="2"/>
        <w:numPr>
          <w:ilvl w:val="0"/>
          <w:numId w:val="12"/>
        </w:numPr>
        <w:rPr>
          <w:color w:val="548DD4" w:themeColor="text2" w:themeTint="99"/>
        </w:rPr>
      </w:pPr>
      <w:r w:rsidRPr="006A4DEF">
        <w:rPr>
          <w:color w:val="548DD4" w:themeColor="text2" w:themeTint="99"/>
        </w:rPr>
        <w:t>Допустими дейности</w:t>
      </w:r>
    </w:p>
    <w:p w14:paraId="66D46A00" w14:textId="77777777" w:rsidR="006A4DEF" w:rsidRDefault="006A4DEF">
      <w:pPr>
        <w:pStyle w:val="a3"/>
      </w:pPr>
    </w:p>
    <w:p w14:paraId="1F5F395C" w14:textId="77777777" w:rsidR="00DE54BD" w:rsidRPr="00C12E01" w:rsidRDefault="00DE54BD" w:rsidP="00DE54BD">
      <w:pPr>
        <w:spacing w:after="120"/>
        <w:jc w:val="both"/>
        <w:rPr>
          <w:sz w:val="24"/>
          <w:szCs w:val="24"/>
        </w:rPr>
      </w:pPr>
      <w:r w:rsidRPr="00C12E01">
        <w:rPr>
          <w:sz w:val="24"/>
          <w:szCs w:val="24"/>
        </w:rPr>
        <w:lastRenderedPageBreak/>
        <w:t>Проектните предложения по настоящата процедура следва да съответстват на принципа на ефективност и ефикасност, като допустимите дейности следва да съответстват на целите на Оперативната програма и да водят до постигане на специфичната цел и р</w:t>
      </w:r>
      <w:r w:rsidRPr="00C12E01">
        <w:rPr>
          <w:spacing w:val="-1"/>
          <w:sz w:val="24"/>
          <w:szCs w:val="24"/>
        </w:rPr>
        <w:t>е</w:t>
      </w:r>
      <w:r w:rsidRPr="00C12E01">
        <w:rPr>
          <w:spacing w:val="3"/>
          <w:sz w:val="24"/>
          <w:szCs w:val="24"/>
        </w:rPr>
        <w:t>з</w:t>
      </w:r>
      <w:r w:rsidRPr="00C12E01">
        <w:rPr>
          <w:spacing w:val="-5"/>
          <w:sz w:val="24"/>
          <w:szCs w:val="24"/>
        </w:rPr>
        <w:t>у</w:t>
      </w:r>
      <w:r w:rsidRPr="00C12E01">
        <w:rPr>
          <w:sz w:val="24"/>
          <w:szCs w:val="24"/>
        </w:rPr>
        <w:t>лт</w:t>
      </w:r>
      <w:r w:rsidRPr="00C12E01">
        <w:rPr>
          <w:spacing w:val="-1"/>
          <w:sz w:val="24"/>
          <w:szCs w:val="24"/>
        </w:rPr>
        <w:t>а</w:t>
      </w:r>
      <w:r w:rsidRPr="00C12E01">
        <w:rPr>
          <w:sz w:val="24"/>
          <w:szCs w:val="24"/>
        </w:rPr>
        <w:t xml:space="preserve">ти на </w:t>
      </w:r>
      <w:r w:rsidRPr="00C12E01">
        <w:rPr>
          <w:spacing w:val="-16"/>
          <w:sz w:val="24"/>
          <w:szCs w:val="24"/>
        </w:rPr>
        <w:t xml:space="preserve"> </w:t>
      </w:r>
      <w:r w:rsidRPr="00C12E01">
        <w:rPr>
          <w:spacing w:val="-1"/>
          <w:sz w:val="24"/>
          <w:szCs w:val="24"/>
        </w:rPr>
        <w:t>И</w:t>
      </w:r>
      <w:r w:rsidRPr="00C12E01">
        <w:rPr>
          <w:sz w:val="24"/>
          <w:szCs w:val="24"/>
        </w:rPr>
        <w:t>н</w:t>
      </w:r>
      <w:r w:rsidRPr="00C12E01">
        <w:rPr>
          <w:spacing w:val="-1"/>
          <w:sz w:val="24"/>
          <w:szCs w:val="24"/>
        </w:rPr>
        <w:t>в</w:t>
      </w:r>
      <w:r w:rsidRPr="00C12E01">
        <w:rPr>
          <w:sz w:val="24"/>
          <w:szCs w:val="24"/>
        </w:rPr>
        <w:t>е</w:t>
      </w:r>
      <w:r w:rsidRPr="00C12E01">
        <w:rPr>
          <w:spacing w:val="-1"/>
          <w:sz w:val="24"/>
          <w:szCs w:val="24"/>
        </w:rPr>
        <w:t>с</w:t>
      </w:r>
      <w:r w:rsidRPr="00C12E01">
        <w:rPr>
          <w:sz w:val="24"/>
          <w:szCs w:val="24"/>
        </w:rPr>
        <w:t>т</w:t>
      </w:r>
      <w:r w:rsidRPr="00C12E01">
        <w:rPr>
          <w:spacing w:val="1"/>
          <w:sz w:val="24"/>
          <w:szCs w:val="24"/>
        </w:rPr>
        <w:t>и</w:t>
      </w:r>
      <w:r w:rsidRPr="00C12E01">
        <w:rPr>
          <w:spacing w:val="-2"/>
          <w:sz w:val="24"/>
          <w:szCs w:val="24"/>
        </w:rPr>
        <w:t>ц</w:t>
      </w:r>
      <w:r w:rsidRPr="00C12E01">
        <w:rPr>
          <w:sz w:val="24"/>
          <w:szCs w:val="24"/>
        </w:rPr>
        <w:t>ион</w:t>
      </w:r>
      <w:r w:rsidRPr="00C12E01">
        <w:rPr>
          <w:spacing w:val="-1"/>
          <w:sz w:val="24"/>
          <w:szCs w:val="24"/>
        </w:rPr>
        <w:t>е</w:t>
      </w:r>
      <w:r w:rsidRPr="00C12E01">
        <w:rPr>
          <w:sz w:val="24"/>
          <w:szCs w:val="24"/>
        </w:rPr>
        <w:t xml:space="preserve">н </w:t>
      </w:r>
      <w:r w:rsidRPr="00C12E01">
        <w:rPr>
          <w:spacing w:val="-14"/>
          <w:sz w:val="24"/>
          <w:szCs w:val="24"/>
        </w:rPr>
        <w:t xml:space="preserve"> </w:t>
      </w:r>
      <w:r w:rsidRPr="00C12E01">
        <w:rPr>
          <w:sz w:val="24"/>
          <w:szCs w:val="24"/>
        </w:rPr>
        <w:t>п</w:t>
      </w:r>
      <w:r w:rsidRPr="00C12E01">
        <w:rPr>
          <w:spacing w:val="-3"/>
          <w:sz w:val="24"/>
          <w:szCs w:val="24"/>
        </w:rPr>
        <w:t>р</w:t>
      </w:r>
      <w:r w:rsidRPr="00C12E01">
        <w:rPr>
          <w:sz w:val="24"/>
          <w:szCs w:val="24"/>
        </w:rPr>
        <w:t>иоритет</w:t>
      </w:r>
      <w:r>
        <w:rPr>
          <w:bCs/>
          <w:sz w:val="24"/>
          <w:szCs w:val="24"/>
        </w:rPr>
        <w:t xml:space="preserve"> </w:t>
      </w:r>
      <w:r w:rsidRPr="00A3564A">
        <w:rPr>
          <w:bCs/>
          <w:sz w:val="24"/>
          <w:szCs w:val="24"/>
        </w:rPr>
        <w:t>2</w:t>
      </w:r>
      <w:r>
        <w:rPr>
          <w:bCs/>
          <w:sz w:val="24"/>
          <w:szCs w:val="24"/>
        </w:rPr>
        <w:t>.2</w:t>
      </w:r>
      <w:r w:rsidRPr="00C12E01">
        <w:rPr>
          <w:spacing w:val="-15"/>
          <w:sz w:val="24"/>
          <w:szCs w:val="24"/>
        </w:rPr>
        <w:t xml:space="preserve"> </w:t>
      </w:r>
      <w:r w:rsidRPr="00C12E01">
        <w:rPr>
          <w:spacing w:val="-1"/>
          <w:sz w:val="24"/>
          <w:szCs w:val="24"/>
        </w:rPr>
        <w:t>„</w:t>
      </w:r>
      <w:r w:rsidRPr="00A3564A">
        <w:rPr>
          <w:sz w:val="24"/>
          <w:szCs w:val="24"/>
        </w:rPr>
        <w:t>Капацитет за растеж на МСП</w:t>
      </w:r>
      <w:r w:rsidRPr="00C12E01">
        <w:rPr>
          <w:sz w:val="24"/>
          <w:szCs w:val="24"/>
        </w:rPr>
        <w:t xml:space="preserve">“ от Приоритетна ос </w:t>
      </w:r>
      <w:r>
        <w:rPr>
          <w:sz w:val="24"/>
          <w:szCs w:val="24"/>
        </w:rPr>
        <w:t>2</w:t>
      </w:r>
      <w:r w:rsidRPr="00C12E01">
        <w:rPr>
          <w:sz w:val="24"/>
          <w:szCs w:val="24"/>
        </w:rPr>
        <w:t xml:space="preserve"> на ОПИК, при най-адекватното съотношение между очакваните разходи и</w:t>
      </w:r>
      <w:r w:rsidRPr="00C12E01">
        <w:rPr>
          <w:spacing w:val="-3"/>
          <w:sz w:val="24"/>
          <w:szCs w:val="24"/>
        </w:rPr>
        <w:t xml:space="preserve"> </w:t>
      </w:r>
      <w:r w:rsidRPr="00C12E01">
        <w:rPr>
          <w:sz w:val="24"/>
          <w:szCs w:val="24"/>
        </w:rPr>
        <w:t>ползи.</w:t>
      </w:r>
    </w:p>
    <w:p w14:paraId="23284827" w14:textId="77777777" w:rsidR="00DE54BD" w:rsidRDefault="00DE54BD" w:rsidP="00DE54BD">
      <w:pPr>
        <w:spacing w:after="120"/>
        <w:jc w:val="both"/>
        <w:rPr>
          <w:sz w:val="24"/>
          <w:szCs w:val="24"/>
        </w:rPr>
      </w:pPr>
      <w:r w:rsidRPr="00C12E01">
        <w:rPr>
          <w:b/>
          <w:sz w:val="24"/>
          <w:szCs w:val="24"/>
        </w:rPr>
        <w:t>Всички дейности, включени в проектно предложение, следва да са пряко свързани с изпълнението на проекта</w:t>
      </w:r>
      <w:r w:rsidRPr="00C12E01">
        <w:rPr>
          <w:sz w:val="24"/>
          <w:szCs w:val="24"/>
        </w:rPr>
        <w:t>.</w:t>
      </w:r>
    </w:p>
    <w:p w14:paraId="5B64CFD1" w14:textId="3D2EAE26" w:rsidR="00DE54BD" w:rsidRDefault="00DE54BD" w:rsidP="00DE54BD">
      <w:pPr>
        <w:spacing w:after="120"/>
        <w:jc w:val="both"/>
        <w:rPr>
          <w:sz w:val="24"/>
          <w:szCs w:val="24"/>
        </w:rPr>
      </w:pPr>
      <w:r>
        <w:rPr>
          <w:sz w:val="24"/>
          <w:szCs w:val="24"/>
        </w:rPr>
        <w:t xml:space="preserve">Допустимите дейности по процедурата са: </w:t>
      </w:r>
    </w:p>
    <w:p w14:paraId="5AA4DB22" w14:textId="77777777" w:rsidR="00DE54BD" w:rsidRDefault="00DE54BD" w:rsidP="00DE54BD">
      <w:pPr>
        <w:spacing w:before="120" w:after="120"/>
        <w:jc w:val="both"/>
        <w:rPr>
          <w:rFonts w:eastAsia="Calibri"/>
          <w:b/>
          <w:sz w:val="24"/>
          <w:szCs w:val="24"/>
        </w:rPr>
      </w:pPr>
      <w:r w:rsidRPr="00461D81">
        <w:rPr>
          <w:rFonts w:eastAsia="Calibri"/>
          <w:b/>
          <w:sz w:val="24"/>
          <w:szCs w:val="24"/>
        </w:rPr>
        <w:t xml:space="preserve">1. Подкрепа за общи производствени инвестиции за подобряване на производствения капацитет за растеж чрез ефективното и ефикасно използване на факторите на производство и чрез изграждането на възможности за възприемане и адаптиране на европейски и международни знания и технологии. </w:t>
      </w:r>
    </w:p>
    <w:p w14:paraId="01779760" w14:textId="77777777" w:rsidR="00DE54BD" w:rsidRPr="00391A15" w:rsidRDefault="00DE54BD" w:rsidP="00DE54BD">
      <w:pPr>
        <w:spacing w:before="120" w:after="120"/>
        <w:jc w:val="both"/>
        <w:rPr>
          <w:rFonts w:eastAsia="Calibri"/>
          <w:sz w:val="24"/>
          <w:szCs w:val="24"/>
        </w:rPr>
      </w:pPr>
      <w:r w:rsidRPr="00391A15">
        <w:rPr>
          <w:rFonts w:eastAsia="Calibri"/>
          <w:sz w:val="24"/>
          <w:szCs w:val="24"/>
        </w:rPr>
        <w:t>Дейностите трябва да са насочени към:</w:t>
      </w:r>
    </w:p>
    <w:p w14:paraId="63F6E031" w14:textId="77777777" w:rsidR="00DE54BD" w:rsidRPr="00461D81" w:rsidRDefault="00DE54BD" w:rsidP="00DE54BD">
      <w:pPr>
        <w:pStyle w:val="a4"/>
        <w:widowControl/>
        <w:numPr>
          <w:ilvl w:val="0"/>
          <w:numId w:val="31"/>
        </w:numPr>
        <w:autoSpaceDE/>
        <w:autoSpaceDN/>
        <w:spacing w:after="120"/>
        <w:ind w:left="357" w:hanging="357"/>
        <w:jc w:val="both"/>
        <w:rPr>
          <w:rFonts w:eastAsia="Calibri"/>
          <w:sz w:val="24"/>
          <w:szCs w:val="24"/>
        </w:rPr>
      </w:pPr>
      <w:r w:rsidRPr="00461D81">
        <w:rPr>
          <w:rFonts w:eastAsia="Calibri"/>
          <w:sz w:val="24"/>
          <w:szCs w:val="24"/>
        </w:rPr>
        <w:t>повишаване на производителността; и/или</w:t>
      </w:r>
    </w:p>
    <w:p w14:paraId="110398FD" w14:textId="77777777" w:rsidR="00DE54BD" w:rsidRPr="00461D81" w:rsidRDefault="00DE54BD" w:rsidP="00DE54BD">
      <w:pPr>
        <w:pStyle w:val="a4"/>
        <w:widowControl/>
        <w:numPr>
          <w:ilvl w:val="0"/>
          <w:numId w:val="30"/>
        </w:numPr>
        <w:autoSpaceDE/>
        <w:autoSpaceDN/>
        <w:spacing w:after="120"/>
        <w:ind w:left="357" w:hanging="357"/>
        <w:jc w:val="both"/>
        <w:rPr>
          <w:rFonts w:eastAsia="Calibri"/>
          <w:sz w:val="24"/>
          <w:szCs w:val="24"/>
        </w:rPr>
      </w:pPr>
      <w:r w:rsidRPr="00461D81">
        <w:rPr>
          <w:rFonts w:eastAsia="Calibri"/>
          <w:sz w:val="24"/>
          <w:szCs w:val="24"/>
        </w:rPr>
        <w:t>ефективното и ефикасно използване на факторите на производство (човешки капитал, природни ресурси и технологии) чрез внедряване на нови технологии/практики/методи/системи за подобряване на ресурсната ефективност и ефикасност в производствения процес; и/или</w:t>
      </w:r>
    </w:p>
    <w:p w14:paraId="5210D10A" w14:textId="77777777" w:rsidR="00DE54BD" w:rsidRPr="00461D81" w:rsidRDefault="00DE54BD" w:rsidP="00DE54BD">
      <w:pPr>
        <w:pStyle w:val="a4"/>
        <w:widowControl/>
        <w:numPr>
          <w:ilvl w:val="0"/>
          <w:numId w:val="30"/>
        </w:numPr>
        <w:autoSpaceDE/>
        <w:autoSpaceDN/>
        <w:spacing w:after="120"/>
        <w:ind w:left="357" w:hanging="357"/>
        <w:jc w:val="both"/>
        <w:rPr>
          <w:rFonts w:eastAsia="Calibri"/>
          <w:sz w:val="24"/>
          <w:szCs w:val="24"/>
        </w:rPr>
      </w:pPr>
      <w:r w:rsidRPr="00461D81">
        <w:rPr>
          <w:rFonts w:eastAsia="Calibri"/>
          <w:sz w:val="24"/>
          <w:szCs w:val="24"/>
        </w:rPr>
        <w:t>подобряване на производствените процеси чрез инвестиции в дълготрайни материални и нематериални активи; и/или</w:t>
      </w:r>
    </w:p>
    <w:p w14:paraId="6A305023" w14:textId="77777777" w:rsidR="00DE54BD" w:rsidRPr="00461D81" w:rsidRDefault="00DE54BD" w:rsidP="00DE54BD">
      <w:pPr>
        <w:pStyle w:val="a4"/>
        <w:widowControl/>
        <w:numPr>
          <w:ilvl w:val="0"/>
          <w:numId w:val="30"/>
        </w:numPr>
        <w:autoSpaceDE/>
        <w:autoSpaceDN/>
        <w:spacing w:after="120"/>
        <w:ind w:left="357" w:hanging="357"/>
        <w:jc w:val="both"/>
        <w:rPr>
          <w:rFonts w:eastAsia="Calibri"/>
          <w:sz w:val="24"/>
          <w:szCs w:val="24"/>
        </w:rPr>
      </w:pPr>
      <w:r w:rsidRPr="00461D81">
        <w:rPr>
          <w:rFonts w:eastAsia="Calibri"/>
          <w:sz w:val="24"/>
          <w:szCs w:val="24"/>
        </w:rPr>
        <w:t xml:space="preserve">въвеждане на водещи технологични решения и/или </w:t>
      </w:r>
      <w:proofErr w:type="spellStart"/>
      <w:r w:rsidRPr="00461D81">
        <w:rPr>
          <w:rFonts w:eastAsia="Calibri"/>
          <w:sz w:val="24"/>
          <w:szCs w:val="24"/>
        </w:rPr>
        <w:t>реинженеринг</w:t>
      </w:r>
      <w:proofErr w:type="spellEnd"/>
      <w:r w:rsidRPr="00461D81">
        <w:rPr>
          <w:rFonts w:eastAsia="Calibri"/>
          <w:sz w:val="24"/>
          <w:szCs w:val="24"/>
        </w:rPr>
        <w:t xml:space="preserve"> на процеси, вкл. чрез въвеждане на добри практики/технологични методи/технологии/процеси за намаляване консумацията на природни ресурси, безотпадни технологии, оползотворяване на вторични суровини и производствените отпадъци, регенериране и </w:t>
      </w:r>
      <w:proofErr w:type="spellStart"/>
      <w:r w:rsidRPr="00461D81">
        <w:rPr>
          <w:rFonts w:eastAsia="Calibri"/>
          <w:sz w:val="24"/>
          <w:szCs w:val="24"/>
        </w:rPr>
        <w:t>др</w:t>
      </w:r>
      <w:proofErr w:type="spellEnd"/>
      <w:r w:rsidRPr="00461D81">
        <w:rPr>
          <w:rFonts w:eastAsia="Calibri"/>
          <w:sz w:val="24"/>
          <w:szCs w:val="24"/>
        </w:rPr>
        <w:t>; и/или</w:t>
      </w:r>
    </w:p>
    <w:p w14:paraId="5A7F30F2" w14:textId="77777777" w:rsidR="00DE54BD" w:rsidRPr="00461D81" w:rsidRDefault="00DE54BD" w:rsidP="00DE54BD">
      <w:pPr>
        <w:pStyle w:val="a4"/>
        <w:widowControl/>
        <w:numPr>
          <w:ilvl w:val="0"/>
          <w:numId w:val="30"/>
        </w:numPr>
        <w:autoSpaceDE/>
        <w:autoSpaceDN/>
        <w:spacing w:after="120"/>
        <w:ind w:left="357" w:hanging="357"/>
        <w:jc w:val="both"/>
        <w:rPr>
          <w:rFonts w:eastAsia="Calibri"/>
          <w:sz w:val="24"/>
          <w:szCs w:val="24"/>
        </w:rPr>
      </w:pPr>
      <w:r w:rsidRPr="00461D81">
        <w:rPr>
          <w:rFonts w:eastAsia="Calibri"/>
          <w:sz w:val="24"/>
          <w:szCs w:val="24"/>
        </w:rPr>
        <w:t>разширяване на производството чрез добавяне на нови характеристики или подобряване на съществуващите продукти и услуги; и/или</w:t>
      </w:r>
    </w:p>
    <w:p w14:paraId="5C8592C6" w14:textId="77777777" w:rsidR="00DE54BD" w:rsidRPr="00461D81" w:rsidRDefault="00DE54BD" w:rsidP="00DE54BD">
      <w:pPr>
        <w:pStyle w:val="a4"/>
        <w:widowControl/>
        <w:numPr>
          <w:ilvl w:val="0"/>
          <w:numId w:val="30"/>
        </w:numPr>
        <w:autoSpaceDE/>
        <w:autoSpaceDN/>
        <w:spacing w:after="120"/>
        <w:ind w:left="357" w:hanging="357"/>
        <w:jc w:val="both"/>
        <w:rPr>
          <w:rFonts w:eastAsia="Calibri"/>
          <w:sz w:val="24"/>
          <w:szCs w:val="24"/>
        </w:rPr>
      </w:pPr>
      <w:r w:rsidRPr="00461D81">
        <w:rPr>
          <w:rFonts w:eastAsia="Calibri"/>
          <w:sz w:val="24"/>
          <w:szCs w:val="24"/>
        </w:rPr>
        <w:t>диверсификация на дейността чрез разнообразяване на портфолиото на предприятията и достъп до пазари.</w:t>
      </w:r>
    </w:p>
    <w:p w14:paraId="0B5C8E20" w14:textId="77777777" w:rsidR="00DE54BD" w:rsidRDefault="00DE54BD" w:rsidP="00DE54BD">
      <w:pPr>
        <w:spacing w:before="120" w:after="120"/>
        <w:jc w:val="both"/>
        <w:rPr>
          <w:rFonts w:eastAsia="Calibri"/>
          <w:b/>
          <w:sz w:val="24"/>
          <w:szCs w:val="24"/>
        </w:rPr>
      </w:pPr>
      <w:r w:rsidRPr="00461D81">
        <w:rPr>
          <w:rFonts w:eastAsia="Calibri"/>
          <w:b/>
          <w:sz w:val="24"/>
          <w:szCs w:val="24"/>
        </w:rPr>
        <w:t xml:space="preserve">2. Подкрепа за специализирани услуги за МСП за развитие и укрепване на управленския капацитет. </w:t>
      </w:r>
    </w:p>
    <w:p w14:paraId="78C50D15" w14:textId="77777777" w:rsidR="00DE54BD" w:rsidRPr="00391A15" w:rsidRDefault="00DE54BD" w:rsidP="00DE54BD">
      <w:pPr>
        <w:spacing w:before="120" w:after="120"/>
        <w:jc w:val="both"/>
        <w:rPr>
          <w:rFonts w:eastAsia="Calibri"/>
          <w:sz w:val="24"/>
          <w:szCs w:val="24"/>
        </w:rPr>
      </w:pPr>
      <w:r w:rsidRPr="00391A15">
        <w:rPr>
          <w:rFonts w:eastAsia="Calibri"/>
          <w:sz w:val="24"/>
          <w:szCs w:val="24"/>
        </w:rPr>
        <w:t>Дейностите трябва да са насочени към:</w:t>
      </w:r>
    </w:p>
    <w:p w14:paraId="3A93C5F5" w14:textId="77777777" w:rsidR="00DE54BD" w:rsidRPr="00D15CA0" w:rsidRDefault="00DE54BD" w:rsidP="00DE54BD">
      <w:pPr>
        <w:pStyle w:val="a4"/>
        <w:widowControl/>
        <w:numPr>
          <w:ilvl w:val="0"/>
          <w:numId w:val="30"/>
        </w:numPr>
        <w:autoSpaceDE/>
        <w:autoSpaceDN/>
        <w:spacing w:after="120"/>
        <w:ind w:left="357" w:hanging="357"/>
        <w:jc w:val="both"/>
        <w:rPr>
          <w:rFonts w:eastAsia="Calibri"/>
          <w:sz w:val="24"/>
          <w:szCs w:val="24"/>
        </w:rPr>
      </w:pPr>
      <w:r w:rsidRPr="00D15CA0">
        <w:rPr>
          <w:rFonts w:eastAsia="Calibri"/>
          <w:sz w:val="24"/>
          <w:szCs w:val="24"/>
        </w:rPr>
        <w:t>управление на факторите на производство, с акцент върху изграждането на възможности за възприемане и адаптиране на европейски и международни знания и добри практики; и/или</w:t>
      </w:r>
    </w:p>
    <w:p w14:paraId="521E0E10" w14:textId="77777777" w:rsidR="00DE54BD" w:rsidRDefault="00DE54BD" w:rsidP="00DE54BD">
      <w:pPr>
        <w:pStyle w:val="a4"/>
        <w:widowControl/>
        <w:numPr>
          <w:ilvl w:val="0"/>
          <w:numId w:val="30"/>
        </w:numPr>
        <w:autoSpaceDE/>
        <w:autoSpaceDN/>
        <w:spacing w:after="120"/>
        <w:ind w:left="357" w:hanging="357"/>
        <w:jc w:val="both"/>
        <w:rPr>
          <w:rFonts w:eastAsia="Calibri"/>
          <w:sz w:val="24"/>
          <w:szCs w:val="24"/>
        </w:rPr>
      </w:pPr>
      <w:r w:rsidRPr="00D15CA0">
        <w:rPr>
          <w:rFonts w:eastAsia="Calibri"/>
          <w:sz w:val="24"/>
          <w:szCs w:val="24"/>
        </w:rPr>
        <w:lastRenderedPageBreak/>
        <w:t>разработване, внедряване и сертифициране на системи за управление на качеството, опазване на околната среда, еко маркировка</w:t>
      </w:r>
      <w:r w:rsidRPr="00461D81">
        <w:rPr>
          <w:sz w:val="24"/>
          <w:szCs w:val="24"/>
          <w:vertAlign w:val="superscript"/>
        </w:rPr>
        <w:footnoteReference w:id="5"/>
      </w:r>
      <w:r w:rsidRPr="00461D81">
        <w:rPr>
          <w:rFonts w:eastAsia="Calibri"/>
          <w:sz w:val="24"/>
          <w:szCs w:val="24"/>
          <w:vertAlign w:val="superscript"/>
        </w:rPr>
        <w:t>,</w:t>
      </w:r>
      <w:r w:rsidRPr="00D15CA0">
        <w:rPr>
          <w:rFonts w:eastAsia="Calibri"/>
          <w:sz w:val="24"/>
          <w:szCs w:val="24"/>
        </w:rPr>
        <w:t xml:space="preserve"> сигурност на информацията и други съгласно международни, европейски и национални стандарти</w:t>
      </w:r>
      <w:r w:rsidRPr="00D15CA0">
        <w:rPr>
          <w:rFonts w:eastAsia="Calibri"/>
          <w:sz w:val="24"/>
          <w:szCs w:val="24"/>
          <w:vertAlign w:val="superscript"/>
        </w:rPr>
        <w:footnoteReference w:id="6"/>
      </w:r>
      <w:r w:rsidRPr="00D15CA0">
        <w:rPr>
          <w:rFonts w:eastAsia="Calibri"/>
          <w:sz w:val="24"/>
          <w:szCs w:val="24"/>
        </w:rPr>
        <w:t>; и/или</w:t>
      </w:r>
    </w:p>
    <w:p w14:paraId="660E4F48" w14:textId="77777777" w:rsidR="00DE54BD" w:rsidRPr="007F2DC6" w:rsidRDefault="00DE54BD" w:rsidP="00DE54BD">
      <w:pPr>
        <w:spacing w:before="120" w:after="120"/>
        <w:jc w:val="both"/>
        <w:rPr>
          <w:rFonts w:eastAsia="Calibri"/>
          <w:b/>
          <w:sz w:val="24"/>
          <w:szCs w:val="24"/>
        </w:rPr>
      </w:pPr>
      <w:r w:rsidRPr="007F2DC6">
        <w:rPr>
          <w:rFonts w:eastAsia="Calibri"/>
          <w:b/>
          <w:sz w:val="24"/>
          <w:szCs w:val="24"/>
        </w:rPr>
        <w:t>Всички стандарти за системи за управление, с много малки изключения, се разработват от международните организации за стандартизация, преобладаващата част от тях се приемат като европейски стандарти, а останалата част се приемат като национални стандарти. Под национални стандарти следва да се разбират идентично въведените европейски и международни стандарти като национални стандарти на страните членки на ЕС.</w:t>
      </w:r>
    </w:p>
    <w:p w14:paraId="4E046455" w14:textId="77777777" w:rsidR="00DE54BD" w:rsidRDefault="00DE54BD" w:rsidP="00DE54BD">
      <w:pPr>
        <w:pStyle w:val="a4"/>
        <w:widowControl/>
        <w:numPr>
          <w:ilvl w:val="0"/>
          <w:numId w:val="30"/>
        </w:numPr>
        <w:autoSpaceDE/>
        <w:autoSpaceDN/>
        <w:spacing w:after="120"/>
        <w:ind w:left="357" w:hanging="357"/>
        <w:jc w:val="both"/>
        <w:rPr>
          <w:rFonts w:eastAsia="Calibri"/>
          <w:sz w:val="24"/>
          <w:szCs w:val="24"/>
        </w:rPr>
      </w:pPr>
      <w:r w:rsidRPr="00D15CA0">
        <w:rPr>
          <w:rFonts w:eastAsia="Calibri"/>
          <w:sz w:val="24"/>
          <w:szCs w:val="24"/>
        </w:rPr>
        <w:t>разработване, трансфер, внедряване и сертифициране на добри производствени практики</w:t>
      </w:r>
      <w:r w:rsidRPr="00D15CA0">
        <w:rPr>
          <w:rFonts w:eastAsia="Calibri"/>
          <w:sz w:val="24"/>
          <w:szCs w:val="24"/>
          <w:vertAlign w:val="superscript"/>
        </w:rPr>
        <w:footnoteReference w:id="7"/>
      </w:r>
      <w:r w:rsidRPr="00D15CA0">
        <w:rPr>
          <w:rFonts w:eastAsia="Calibri"/>
          <w:sz w:val="24"/>
          <w:szCs w:val="24"/>
        </w:rPr>
        <w:t>; и/или</w:t>
      </w:r>
      <w:r>
        <w:rPr>
          <w:rFonts w:eastAsia="Calibri"/>
          <w:sz w:val="24"/>
          <w:szCs w:val="24"/>
        </w:rPr>
        <w:t xml:space="preserve"> </w:t>
      </w:r>
    </w:p>
    <w:p w14:paraId="1989EF4B" w14:textId="77777777" w:rsidR="00DE54BD" w:rsidRDefault="00DE54BD" w:rsidP="00DE54BD">
      <w:pPr>
        <w:pStyle w:val="a4"/>
        <w:widowControl/>
        <w:numPr>
          <w:ilvl w:val="0"/>
          <w:numId w:val="30"/>
        </w:numPr>
        <w:autoSpaceDE/>
        <w:autoSpaceDN/>
        <w:spacing w:after="120"/>
        <w:ind w:left="357" w:hanging="357"/>
        <w:jc w:val="both"/>
        <w:rPr>
          <w:rFonts w:eastAsia="Calibri"/>
          <w:sz w:val="24"/>
          <w:szCs w:val="24"/>
        </w:rPr>
      </w:pPr>
      <w:r w:rsidRPr="00D15CA0">
        <w:rPr>
          <w:rFonts w:eastAsia="Calibri"/>
          <w:sz w:val="24"/>
          <w:szCs w:val="24"/>
        </w:rPr>
        <w:t xml:space="preserve">услуги по </w:t>
      </w:r>
      <w:proofErr w:type="spellStart"/>
      <w:r w:rsidRPr="00D15CA0">
        <w:rPr>
          <w:rFonts w:eastAsia="Calibri"/>
          <w:sz w:val="24"/>
          <w:szCs w:val="24"/>
        </w:rPr>
        <w:t>реинженеринг</w:t>
      </w:r>
      <w:proofErr w:type="spellEnd"/>
      <w:r w:rsidRPr="00D15CA0">
        <w:rPr>
          <w:rFonts w:eastAsia="Calibri"/>
          <w:sz w:val="24"/>
          <w:szCs w:val="24"/>
        </w:rPr>
        <w:t xml:space="preserve"> на процесите в предприятията</w:t>
      </w:r>
      <w:r w:rsidRPr="00D15CA0">
        <w:rPr>
          <w:rFonts w:eastAsia="Calibri"/>
          <w:sz w:val="24"/>
          <w:szCs w:val="24"/>
          <w:vertAlign w:val="superscript"/>
          <w:lang w:val="en-US"/>
        </w:rPr>
        <w:footnoteReference w:id="8"/>
      </w:r>
      <w:r w:rsidRPr="00D15CA0">
        <w:rPr>
          <w:rFonts w:eastAsia="Calibri"/>
          <w:sz w:val="24"/>
          <w:szCs w:val="24"/>
        </w:rPr>
        <w:t>; и/или</w:t>
      </w:r>
    </w:p>
    <w:p w14:paraId="5BADBEA0" w14:textId="77777777" w:rsidR="00DE54BD" w:rsidRDefault="00DE54BD" w:rsidP="00DE54BD">
      <w:pPr>
        <w:pStyle w:val="a4"/>
        <w:widowControl/>
        <w:numPr>
          <w:ilvl w:val="0"/>
          <w:numId w:val="30"/>
        </w:numPr>
        <w:autoSpaceDE/>
        <w:autoSpaceDN/>
        <w:spacing w:after="120"/>
        <w:ind w:left="357" w:hanging="357"/>
        <w:jc w:val="both"/>
        <w:rPr>
          <w:rFonts w:eastAsia="Calibri"/>
          <w:sz w:val="24"/>
          <w:szCs w:val="24"/>
        </w:rPr>
      </w:pPr>
      <w:r w:rsidRPr="00D15CA0">
        <w:rPr>
          <w:rFonts w:eastAsia="Calibri"/>
          <w:sz w:val="24"/>
          <w:szCs w:val="24"/>
        </w:rPr>
        <w:lastRenderedPageBreak/>
        <w:t>разработване на стратегии за пазарна реализация, проучвания и трансфер на инструментариум за навлизане на нови пазари и за задоволяване на пазарното търсене и разнообразяване на предлагането; и/или</w:t>
      </w:r>
    </w:p>
    <w:p w14:paraId="3376EAAD" w14:textId="77777777" w:rsidR="00DE54BD" w:rsidRDefault="00DE54BD" w:rsidP="00DE54BD">
      <w:pPr>
        <w:pStyle w:val="a4"/>
        <w:widowControl/>
        <w:numPr>
          <w:ilvl w:val="0"/>
          <w:numId w:val="30"/>
        </w:numPr>
        <w:autoSpaceDE/>
        <w:autoSpaceDN/>
        <w:spacing w:after="120"/>
        <w:ind w:left="357" w:hanging="357"/>
        <w:jc w:val="both"/>
        <w:rPr>
          <w:rFonts w:eastAsia="Calibri"/>
          <w:sz w:val="24"/>
          <w:szCs w:val="24"/>
        </w:rPr>
      </w:pPr>
      <w:r w:rsidRPr="00D15CA0">
        <w:rPr>
          <w:rFonts w:eastAsia="Calibri"/>
          <w:sz w:val="24"/>
          <w:szCs w:val="24"/>
        </w:rPr>
        <w:t>инвестиции в ново оборудване и/или специализирани софтуерни приложения, допринасящ/и за изпълнението на някоя от горепосочените дейности.</w:t>
      </w:r>
    </w:p>
    <w:p w14:paraId="7415AD8F" w14:textId="77777777" w:rsidR="00DE54BD" w:rsidRDefault="00DE54BD" w:rsidP="00DE54BD">
      <w:pPr>
        <w:spacing w:before="120" w:after="120"/>
        <w:jc w:val="both"/>
        <w:rPr>
          <w:rFonts w:eastAsia="Calibri"/>
          <w:i/>
          <w:sz w:val="24"/>
          <w:szCs w:val="24"/>
        </w:rPr>
      </w:pPr>
      <w:r w:rsidRPr="00460924">
        <w:rPr>
          <w:rFonts w:eastAsia="Calibri"/>
          <w:b/>
          <w:sz w:val="24"/>
          <w:szCs w:val="24"/>
        </w:rPr>
        <w:t>ВАЖНО</w:t>
      </w:r>
      <w:r>
        <w:rPr>
          <w:rFonts w:eastAsia="Calibri"/>
          <w:b/>
          <w:sz w:val="24"/>
          <w:szCs w:val="24"/>
        </w:rPr>
        <w:t>:</w:t>
      </w:r>
      <w:r>
        <w:rPr>
          <w:rFonts w:eastAsia="Calibri"/>
          <w:sz w:val="24"/>
          <w:szCs w:val="24"/>
        </w:rPr>
        <w:t xml:space="preserve"> </w:t>
      </w:r>
      <w:r w:rsidRPr="007C11B3">
        <w:rPr>
          <w:rFonts w:eastAsia="Calibri"/>
          <w:sz w:val="24"/>
          <w:szCs w:val="24"/>
        </w:rPr>
        <w:t xml:space="preserve">Задължителен краен резултат от изпълнението на </w:t>
      </w:r>
      <w:r>
        <w:rPr>
          <w:rFonts w:eastAsia="Calibri"/>
          <w:sz w:val="24"/>
          <w:szCs w:val="24"/>
        </w:rPr>
        <w:t xml:space="preserve">съответни </w:t>
      </w:r>
      <w:r w:rsidRPr="007C11B3">
        <w:rPr>
          <w:rFonts w:eastAsia="Calibri"/>
          <w:sz w:val="24"/>
          <w:szCs w:val="24"/>
        </w:rPr>
        <w:t>дейности за развитие и укрепване на управленския капацитет е придобиването на документ/</w:t>
      </w:r>
      <w:r>
        <w:rPr>
          <w:rFonts w:eastAsia="Calibri"/>
          <w:sz w:val="24"/>
          <w:szCs w:val="24"/>
        </w:rPr>
        <w:t xml:space="preserve"> </w:t>
      </w:r>
      <w:r w:rsidRPr="007C11B3">
        <w:rPr>
          <w:rFonts w:eastAsia="Calibri"/>
          <w:sz w:val="24"/>
          <w:szCs w:val="24"/>
        </w:rPr>
        <w:t>сертификат</w:t>
      </w:r>
      <w:r>
        <w:rPr>
          <w:rFonts w:eastAsia="Calibri"/>
          <w:sz w:val="24"/>
          <w:szCs w:val="24"/>
        </w:rPr>
        <w:t xml:space="preserve">/ удостоверение/ маркировка. </w:t>
      </w:r>
      <w:r w:rsidRPr="007C11B3">
        <w:rPr>
          <w:rFonts w:eastAsia="Calibri"/>
          <w:sz w:val="24"/>
          <w:szCs w:val="24"/>
        </w:rPr>
        <w:t xml:space="preserve">Ако в срока на изпълнение на проекта не бъде </w:t>
      </w:r>
      <w:r w:rsidRPr="000924F9">
        <w:rPr>
          <w:rFonts w:eastAsia="Calibri"/>
          <w:sz w:val="24"/>
          <w:szCs w:val="24"/>
        </w:rPr>
        <w:t>придоби</w:t>
      </w:r>
      <w:r>
        <w:rPr>
          <w:rFonts w:eastAsia="Calibri"/>
          <w:sz w:val="24"/>
          <w:szCs w:val="24"/>
        </w:rPr>
        <w:t>т</w:t>
      </w:r>
      <w:r w:rsidRPr="000924F9">
        <w:rPr>
          <w:rFonts w:eastAsia="Calibri"/>
          <w:sz w:val="24"/>
          <w:szCs w:val="24"/>
        </w:rPr>
        <w:t xml:space="preserve"> документ/</w:t>
      </w:r>
      <w:r>
        <w:rPr>
          <w:rFonts w:eastAsia="Calibri"/>
          <w:sz w:val="24"/>
          <w:szCs w:val="24"/>
        </w:rPr>
        <w:t xml:space="preserve"> </w:t>
      </w:r>
      <w:r w:rsidRPr="000924F9">
        <w:rPr>
          <w:rFonts w:eastAsia="Calibri"/>
          <w:sz w:val="24"/>
          <w:szCs w:val="24"/>
        </w:rPr>
        <w:t>сертификат/</w:t>
      </w:r>
      <w:r>
        <w:rPr>
          <w:rFonts w:eastAsia="Calibri"/>
          <w:sz w:val="24"/>
          <w:szCs w:val="24"/>
        </w:rPr>
        <w:t xml:space="preserve"> </w:t>
      </w:r>
      <w:r w:rsidRPr="000924F9">
        <w:rPr>
          <w:rFonts w:eastAsia="Calibri"/>
          <w:sz w:val="24"/>
          <w:szCs w:val="24"/>
        </w:rPr>
        <w:t>удостоверение</w:t>
      </w:r>
      <w:r>
        <w:rPr>
          <w:rFonts w:eastAsia="Calibri"/>
          <w:sz w:val="24"/>
          <w:szCs w:val="24"/>
        </w:rPr>
        <w:t>/ маркировка</w:t>
      </w:r>
      <w:r w:rsidRPr="007C11B3">
        <w:rPr>
          <w:rFonts w:eastAsia="Calibri"/>
          <w:sz w:val="24"/>
          <w:szCs w:val="24"/>
        </w:rPr>
        <w:t xml:space="preserve">, извършените разходи </w:t>
      </w:r>
      <w:r>
        <w:rPr>
          <w:rFonts w:eastAsia="Calibri"/>
          <w:sz w:val="24"/>
          <w:szCs w:val="24"/>
        </w:rPr>
        <w:t>за изпълнение на съответната дейност</w:t>
      </w:r>
      <w:r w:rsidRPr="007C11B3">
        <w:rPr>
          <w:rFonts w:eastAsia="Calibri"/>
          <w:sz w:val="24"/>
          <w:szCs w:val="24"/>
        </w:rPr>
        <w:t xml:space="preserve"> няма да бъдат признати</w:t>
      </w:r>
      <w:r>
        <w:rPr>
          <w:rFonts w:eastAsia="Calibri"/>
          <w:sz w:val="24"/>
          <w:szCs w:val="24"/>
        </w:rPr>
        <w:t xml:space="preserve"> и</w:t>
      </w:r>
      <w:r w:rsidRPr="007C11B3">
        <w:rPr>
          <w:rFonts w:eastAsia="Calibri"/>
          <w:sz w:val="24"/>
          <w:szCs w:val="24"/>
        </w:rPr>
        <w:t xml:space="preserve"> </w:t>
      </w:r>
      <w:r w:rsidRPr="000E0F29">
        <w:rPr>
          <w:rFonts w:eastAsia="Calibri"/>
          <w:sz w:val="24"/>
          <w:szCs w:val="24"/>
        </w:rPr>
        <w:t>бенефициентът следва да възстанови предоставените му от Управляващия  орган средства със съответната законова лихва.</w:t>
      </w:r>
    </w:p>
    <w:p w14:paraId="7EB0486C" w14:textId="77777777" w:rsidR="00DE54BD" w:rsidRDefault="00DE54BD" w:rsidP="00DE54BD">
      <w:pPr>
        <w:spacing w:before="120" w:after="120"/>
        <w:jc w:val="both"/>
        <w:rPr>
          <w:rFonts w:eastAsia="Calibri"/>
          <w:b/>
          <w:sz w:val="24"/>
          <w:szCs w:val="24"/>
        </w:rPr>
      </w:pPr>
      <w:r w:rsidRPr="00D461B6">
        <w:rPr>
          <w:rFonts w:eastAsia="Calibri"/>
          <w:b/>
          <w:sz w:val="24"/>
          <w:szCs w:val="24"/>
        </w:rPr>
        <w:t xml:space="preserve">3. Подкрепа за растеж на предприятия чрез подобряване на качеството и насърчаване на използването на ИКТ и услуги. </w:t>
      </w:r>
    </w:p>
    <w:p w14:paraId="4BD752A4" w14:textId="77777777" w:rsidR="00DE54BD" w:rsidRPr="00391A15" w:rsidRDefault="00DE54BD" w:rsidP="00DE54BD">
      <w:pPr>
        <w:spacing w:before="120" w:after="120"/>
        <w:jc w:val="both"/>
        <w:rPr>
          <w:rFonts w:eastAsia="Calibri"/>
          <w:sz w:val="24"/>
          <w:szCs w:val="24"/>
        </w:rPr>
      </w:pPr>
      <w:r w:rsidRPr="00391A15">
        <w:rPr>
          <w:rFonts w:eastAsia="Calibri"/>
          <w:sz w:val="24"/>
          <w:szCs w:val="24"/>
        </w:rPr>
        <w:t>Дейностите трябва да са насочени към:</w:t>
      </w:r>
    </w:p>
    <w:p w14:paraId="1E8A3DB7" w14:textId="77777777" w:rsidR="00DE54BD" w:rsidRDefault="00DE54BD" w:rsidP="00DE54BD">
      <w:pPr>
        <w:pStyle w:val="a4"/>
        <w:widowControl/>
        <w:numPr>
          <w:ilvl w:val="0"/>
          <w:numId w:val="30"/>
        </w:numPr>
        <w:autoSpaceDE/>
        <w:autoSpaceDN/>
        <w:spacing w:after="120"/>
        <w:ind w:left="357" w:hanging="357"/>
        <w:jc w:val="both"/>
        <w:rPr>
          <w:rFonts w:eastAsia="Calibri"/>
          <w:sz w:val="24"/>
          <w:szCs w:val="24"/>
        </w:rPr>
      </w:pPr>
      <w:r w:rsidRPr="001A5E66">
        <w:rPr>
          <w:rFonts w:eastAsia="Calibri"/>
          <w:sz w:val="24"/>
          <w:szCs w:val="24"/>
        </w:rPr>
        <w:t>подобряване на качеството на съществуващи процеси, продукти и услуги чрез разработване и въвеждане на базирани на ИКТ системи и приложения, включително „</w:t>
      </w:r>
      <w:proofErr w:type="spellStart"/>
      <w:r w:rsidRPr="001A5E66">
        <w:rPr>
          <w:rFonts w:eastAsia="Calibri"/>
          <w:sz w:val="24"/>
          <w:szCs w:val="24"/>
        </w:rPr>
        <w:t>виртуализирани</w:t>
      </w:r>
      <w:proofErr w:type="spellEnd"/>
      <w:r w:rsidRPr="001A5E66">
        <w:rPr>
          <w:rFonts w:eastAsia="Calibri"/>
          <w:sz w:val="24"/>
          <w:szCs w:val="24"/>
        </w:rPr>
        <w:t>“, „облачни“, „мобилни“ за управление на бизнеса, включително такива за интеграция на различни звена и локации на дадено дружество; и/или</w:t>
      </w:r>
    </w:p>
    <w:p w14:paraId="386E4AAE" w14:textId="77777777" w:rsidR="00DE54BD" w:rsidRDefault="00DE54BD" w:rsidP="00DE54BD">
      <w:pPr>
        <w:pStyle w:val="a4"/>
        <w:widowControl/>
        <w:numPr>
          <w:ilvl w:val="0"/>
          <w:numId w:val="30"/>
        </w:numPr>
        <w:autoSpaceDE/>
        <w:autoSpaceDN/>
        <w:spacing w:after="120"/>
        <w:ind w:left="357" w:hanging="357"/>
        <w:jc w:val="both"/>
        <w:rPr>
          <w:rFonts w:eastAsia="Calibri"/>
          <w:sz w:val="24"/>
          <w:szCs w:val="24"/>
        </w:rPr>
      </w:pPr>
      <w:r w:rsidRPr="001A5E66">
        <w:rPr>
          <w:rFonts w:eastAsia="Calibri"/>
          <w:sz w:val="24"/>
          <w:szCs w:val="24"/>
        </w:rPr>
        <w:t>системи за автоматизирано проектиране, инженерни дейности и производство; и/или</w:t>
      </w:r>
    </w:p>
    <w:p w14:paraId="7A33CDB3" w14:textId="77777777" w:rsidR="00DE54BD" w:rsidRDefault="00DE54BD" w:rsidP="00DE54BD">
      <w:pPr>
        <w:pStyle w:val="a4"/>
        <w:widowControl/>
        <w:numPr>
          <w:ilvl w:val="0"/>
          <w:numId w:val="30"/>
        </w:numPr>
        <w:autoSpaceDE/>
        <w:autoSpaceDN/>
        <w:spacing w:after="120"/>
        <w:ind w:left="357" w:hanging="357"/>
        <w:jc w:val="both"/>
        <w:rPr>
          <w:rFonts w:eastAsia="Calibri"/>
          <w:sz w:val="24"/>
          <w:szCs w:val="24"/>
        </w:rPr>
      </w:pPr>
      <w:r w:rsidRPr="001A5E66">
        <w:rPr>
          <w:rFonts w:eastAsia="Calibri"/>
          <w:sz w:val="24"/>
          <w:szCs w:val="24"/>
        </w:rPr>
        <w:t>системи за трансформиране на бизнес и операционни процеси, които водят до повишаване на производителността и конкурентоспособността; и/или</w:t>
      </w:r>
    </w:p>
    <w:p w14:paraId="306739B9" w14:textId="77777777" w:rsidR="00DE54BD" w:rsidRDefault="00DE54BD" w:rsidP="00DE54BD">
      <w:pPr>
        <w:pStyle w:val="a4"/>
        <w:widowControl/>
        <w:numPr>
          <w:ilvl w:val="0"/>
          <w:numId w:val="30"/>
        </w:numPr>
        <w:autoSpaceDE/>
        <w:autoSpaceDN/>
        <w:spacing w:after="120"/>
        <w:ind w:left="357" w:hanging="357"/>
        <w:jc w:val="both"/>
        <w:rPr>
          <w:rFonts w:eastAsia="Calibri"/>
          <w:sz w:val="24"/>
          <w:szCs w:val="24"/>
        </w:rPr>
      </w:pPr>
      <w:r w:rsidRPr="001A5E66">
        <w:rPr>
          <w:rFonts w:eastAsia="Calibri"/>
          <w:sz w:val="24"/>
          <w:szCs w:val="24"/>
        </w:rPr>
        <w:t xml:space="preserve">електронни платформи за бизнес за подобряване на достъпа до чужди пазари. </w:t>
      </w:r>
    </w:p>
    <w:p w14:paraId="031E450E" w14:textId="77777777" w:rsidR="00DE54BD" w:rsidRPr="00EE4695" w:rsidRDefault="00DE54BD" w:rsidP="00DE54BD">
      <w:pPr>
        <w:spacing w:after="120"/>
        <w:jc w:val="both"/>
        <w:rPr>
          <w:sz w:val="24"/>
          <w:szCs w:val="24"/>
        </w:rPr>
      </w:pPr>
      <w:r w:rsidRPr="00EE4695">
        <w:rPr>
          <w:sz w:val="24"/>
          <w:szCs w:val="24"/>
        </w:rPr>
        <w:t>Посочените дейности следва да са в съответствие с хоризонталните политики на ЕС, посочени в т. 17 от Насоките за кандидатстване. Съответствието с посочените хоризонтални политики ще бъде проследявано както на етап оценка на проектните предложения, така и на етап изпълнение на проектите.</w:t>
      </w:r>
    </w:p>
    <w:p w14:paraId="3B4BCB34" w14:textId="77777777" w:rsidR="00DE54BD" w:rsidRPr="00DC16A8" w:rsidRDefault="00DE54BD" w:rsidP="00DE54BD">
      <w:pPr>
        <w:spacing w:after="120"/>
        <w:jc w:val="both"/>
        <w:rPr>
          <w:rFonts w:eastAsia="Calibri"/>
          <w:b/>
          <w:sz w:val="24"/>
          <w:szCs w:val="24"/>
        </w:rPr>
      </w:pPr>
      <w:r w:rsidRPr="00EE4695">
        <w:rPr>
          <w:b/>
          <w:sz w:val="24"/>
          <w:szCs w:val="24"/>
        </w:rPr>
        <w:t>ВАЖНО</w:t>
      </w:r>
      <w:r w:rsidRPr="00DC16A8">
        <w:rPr>
          <w:b/>
          <w:sz w:val="24"/>
          <w:szCs w:val="24"/>
        </w:rPr>
        <w:t xml:space="preserve">: </w:t>
      </w:r>
      <w:r w:rsidRPr="00DC16A8">
        <w:rPr>
          <w:rFonts w:eastAsia="Calibri"/>
          <w:b/>
          <w:sz w:val="24"/>
          <w:szCs w:val="24"/>
        </w:rPr>
        <w:t>В обхватът на дейностите по допустима дейност 2.</w:t>
      </w:r>
      <w:r>
        <w:rPr>
          <w:rFonts w:eastAsia="Calibri"/>
          <w:b/>
          <w:sz w:val="24"/>
          <w:szCs w:val="24"/>
        </w:rPr>
        <w:t xml:space="preserve"> </w:t>
      </w:r>
      <w:r w:rsidRPr="00DC16A8">
        <w:rPr>
          <w:rFonts w:eastAsia="Calibri"/>
          <w:b/>
          <w:sz w:val="24"/>
          <w:szCs w:val="24"/>
        </w:rPr>
        <w:t>Подкрепа за специализирани услуги за МСП за развитие и укрепване на управленския капацитет</w:t>
      </w:r>
      <w:r w:rsidRPr="00DC16A8">
        <w:rPr>
          <w:rFonts w:eastAsia="Calibri"/>
          <w:b/>
          <w:sz w:val="24"/>
          <w:szCs w:val="24"/>
          <w:u w:val="single"/>
        </w:rPr>
        <w:t xml:space="preserve"> не</w:t>
      </w:r>
      <w:r w:rsidRPr="00DC16A8">
        <w:rPr>
          <w:rFonts w:eastAsia="Calibri"/>
          <w:b/>
          <w:sz w:val="24"/>
          <w:szCs w:val="24"/>
        </w:rPr>
        <w:t xml:space="preserve"> може да включва само инвестиции в ново оборудване и/или специализирани софтуерни приложения.</w:t>
      </w:r>
    </w:p>
    <w:p w14:paraId="65BF6EAB" w14:textId="77777777" w:rsidR="00DE54BD" w:rsidRPr="00DC16A8" w:rsidRDefault="00DE54BD" w:rsidP="00DE54BD">
      <w:pPr>
        <w:spacing w:before="120" w:after="120"/>
        <w:jc w:val="both"/>
        <w:rPr>
          <w:rFonts w:eastAsia="Calibri"/>
          <w:b/>
          <w:sz w:val="24"/>
          <w:szCs w:val="24"/>
        </w:rPr>
      </w:pPr>
      <w:r w:rsidRPr="00DC16A8">
        <w:rPr>
          <w:rFonts w:eastAsia="Calibri"/>
          <w:b/>
          <w:sz w:val="24"/>
          <w:szCs w:val="24"/>
        </w:rPr>
        <w:t>В обхватът на дейностите по допустима дейност 3.</w:t>
      </w:r>
      <w:r>
        <w:rPr>
          <w:rFonts w:eastAsia="Calibri"/>
          <w:b/>
          <w:sz w:val="24"/>
          <w:szCs w:val="24"/>
        </w:rPr>
        <w:t xml:space="preserve"> </w:t>
      </w:r>
      <w:r w:rsidRPr="00DC16A8">
        <w:rPr>
          <w:rFonts w:eastAsia="Calibri"/>
          <w:b/>
          <w:sz w:val="24"/>
          <w:szCs w:val="24"/>
        </w:rPr>
        <w:t xml:space="preserve">Подкрепа за растеж на предприятия чрез подобряване на качеството и насърчаване на използването на ИКТ и услуги </w:t>
      </w:r>
      <w:r w:rsidRPr="00DC16A8">
        <w:rPr>
          <w:rFonts w:eastAsia="Calibri"/>
          <w:b/>
          <w:sz w:val="24"/>
          <w:szCs w:val="24"/>
          <w:u w:val="single"/>
        </w:rPr>
        <w:t>не</w:t>
      </w:r>
      <w:r w:rsidRPr="00DC16A8">
        <w:rPr>
          <w:rFonts w:eastAsia="Calibri"/>
          <w:b/>
          <w:sz w:val="24"/>
          <w:szCs w:val="24"/>
        </w:rPr>
        <w:t xml:space="preserve"> може да включва само инвестиции в ново оборудване и/или специализирани софтуерни приложения.</w:t>
      </w:r>
    </w:p>
    <w:p w14:paraId="7C0592B9" w14:textId="77777777" w:rsidR="00DE54BD" w:rsidRPr="00D461B6" w:rsidRDefault="00DE54BD" w:rsidP="00DE54BD">
      <w:pPr>
        <w:spacing w:after="120"/>
        <w:jc w:val="both"/>
        <w:rPr>
          <w:b/>
          <w:sz w:val="24"/>
          <w:szCs w:val="24"/>
        </w:rPr>
      </w:pPr>
      <w:r w:rsidRPr="00D461B6">
        <w:rPr>
          <w:b/>
          <w:sz w:val="24"/>
          <w:szCs w:val="24"/>
        </w:rPr>
        <w:t xml:space="preserve">4. Дейности за информиране и публичност. </w:t>
      </w:r>
    </w:p>
    <w:p w14:paraId="7CDAC607" w14:textId="77777777" w:rsidR="00DE54BD" w:rsidRPr="00FF085F" w:rsidRDefault="00DE54BD" w:rsidP="00DE54BD">
      <w:pPr>
        <w:contextualSpacing/>
        <w:jc w:val="both"/>
        <w:rPr>
          <w:rFonts w:eastAsia="Calibri"/>
          <w:sz w:val="24"/>
          <w:szCs w:val="24"/>
        </w:rPr>
      </w:pPr>
      <w:r w:rsidRPr="00FF085F">
        <w:rPr>
          <w:rFonts w:eastAsia="Calibri"/>
          <w:sz w:val="24"/>
          <w:szCs w:val="24"/>
        </w:rPr>
        <w:t xml:space="preserve">Пълният набор от мерки за информиране и публичност (визуализация), които бенефициентите </w:t>
      </w:r>
      <w:r w:rsidRPr="00FF085F">
        <w:rPr>
          <w:rFonts w:eastAsia="Calibri"/>
          <w:sz w:val="24"/>
          <w:szCs w:val="24"/>
        </w:rPr>
        <w:lastRenderedPageBreak/>
        <w:t xml:space="preserve">трябва да прилагат при изпълнение на проекти финансирани от ЕСИФ, се съдържа в „Единния наръчник на бенефициента за прилагане на правилата за информация и комуникация" 2014-2020, който може да бъде намерен на интернет страницата на Управляващия орган: </w:t>
      </w:r>
    </w:p>
    <w:p w14:paraId="6FEC0070" w14:textId="77777777" w:rsidR="00DE54BD" w:rsidRDefault="009E107C" w:rsidP="00DE54BD">
      <w:pPr>
        <w:contextualSpacing/>
        <w:jc w:val="both"/>
        <w:rPr>
          <w:rStyle w:val="a6"/>
        </w:rPr>
      </w:pPr>
      <w:hyperlink r:id="rId8" w:history="1">
        <w:r w:rsidR="00DE54BD" w:rsidRPr="00FF085F">
          <w:rPr>
            <w:rStyle w:val="a6"/>
          </w:rPr>
          <w:t>http://opic.bg/informatsiya-i-publichnost/grafichni-iziskvaniya</w:t>
        </w:r>
      </w:hyperlink>
    </w:p>
    <w:p w14:paraId="4BD9B94E" w14:textId="77777777" w:rsidR="00DE54BD" w:rsidRDefault="00DE54BD" w:rsidP="00DE54BD">
      <w:pPr>
        <w:contextualSpacing/>
        <w:jc w:val="both"/>
        <w:rPr>
          <w:rStyle w:val="a6"/>
        </w:rPr>
      </w:pPr>
    </w:p>
    <w:p w14:paraId="7AA6BF79" w14:textId="77777777" w:rsidR="00DE54BD" w:rsidRDefault="00DE54BD" w:rsidP="00DE54BD">
      <w:pPr>
        <w:spacing w:after="120"/>
        <w:jc w:val="both"/>
        <w:rPr>
          <w:sz w:val="24"/>
          <w:szCs w:val="24"/>
        </w:rPr>
      </w:pPr>
      <w:r w:rsidRPr="00363825">
        <w:rPr>
          <w:rFonts w:eastAsia="Calibri"/>
          <w:b/>
          <w:sz w:val="24"/>
          <w:szCs w:val="24"/>
        </w:rPr>
        <w:t>ВАЖНО:</w:t>
      </w:r>
      <w:r w:rsidRPr="00363825">
        <w:rPr>
          <w:rFonts w:eastAsia="Calibri"/>
          <w:sz w:val="24"/>
          <w:szCs w:val="24"/>
        </w:rPr>
        <w:t xml:space="preserve"> </w:t>
      </w:r>
      <w:r w:rsidRPr="00363825">
        <w:rPr>
          <w:sz w:val="24"/>
          <w:szCs w:val="24"/>
        </w:rPr>
        <w:t>Включването само на дейности за информиране и публичност в проектното предложение, подавано по настоящата процедура е НЕДОПУСТИМО.</w:t>
      </w:r>
    </w:p>
    <w:p w14:paraId="6A0C7280" w14:textId="77777777" w:rsidR="00DE54BD" w:rsidRPr="00E206C4" w:rsidRDefault="00DE54BD" w:rsidP="00DE54BD">
      <w:pPr>
        <w:spacing w:after="120"/>
        <w:jc w:val="both"/>
        <w:rPr>
          <w:sz w:val="24"/>
          <w:szCs w:val="24"/>
        </w:rPr>
      </w:pPr>
      <w:r w:rsidRPr="00E206C4">
        <w:rPr>
          <w:sz w:val="24"/>
          <w:szCs w:val="24"/>
        </w:rPr>
        <w:t>Дейностите на настоящата процедура следва да се изпълняват при условията и спазване на праговете за помощ „</w:t>
      </w:r>
      <w:proofErr w:type="spellStart"/>
      <w:r w:rsidRPr="00E206C4">
        <w:rPr>
          <w:sz w:val="24"/>
          <w:szCs w:val="24"/>
        </w:rPr>
        <w:t>de</w:t>
      </w:r>
      <w:proofErr w:type="spellEnd"/>
      <w:r w:rsidRPr="00E206C4">
        <w:rPr>
          <w:sz w:val="24"/>
          <w:szCs w:val="24"/>
        </w:rPr>
        <w:t xml:space="preserve"> </w:t>
      </w:r>
      <w:proofErr w:type="spellStart"/>
      <w:r w:rsidRPr="00E206C4">
        <w:rPr>
          <w:sz w:val="24"/>
          <w:szCs w:val="24"/>
        </w:rPr>
        <w:t>minimis</w:t>
      </w:r>
      <w:proofErr w:type="spellEnd"/>
      <w:r w:rsidRPr="00E206C4">
        <w:rPr>
          <w:sz w:val="24"/>
          <w:szCs w:val="24"/>
        </w:rPr>
        <w:t>― съгласно Регламент (ЕС) № 1407/2013.</w:t>
      </w:r>
    </w:p>
    <w:p w14:paraId="7A9187EA" w14:textId="77777777" w:rsidR="00DE54BD" w:rsidRPr="00E206C4" w:rsidRDefault="00DE54BD" w:rsidP="00DE54BD">
      <w:pPr>
        <w:spacing w:after="120"/>
        <w:jc w:val="both"/>
        <w:rPr>
          <w:sz w:val="24"/>
          <w:szCs w:val="24"/>
        </w:rPr>
      </w:pPr>
      <w:r w:rsidRPr="00E206C4">
        <w:rPr>
          <w:b/>
          <w:sz w:val="24"/>
          <w:szCs w:val="24"/>
        </w:rPr>
        <w:t>ВАЖНО:</w:t>
      </w:r>
      <w:r w:rsidRPr="00E206C4">
        <w:rPr>
          <w:sz w:val="24"/>
          <w:szCs w:val="24"/>
        </w:rPr>
        <w:t xml:space="preserve"> При описание на дейностите във Формуляра за кандидатстване, сформирането на екип по проекта, провеждането на процедура за избор на изпълнител, изборът на изпълнител, доставката на закупеното по проекта оборудване и т.н. не следва да са обособени като отделни дейности, а да са част от описанието/методологията за изпълнение на посочените по-горе дейности.</w:t>
      </w:r>
    </w:p>
    <w:p w14:paraId="3C182008" w14:textId="77777777" w:rsidR="00DE54BD" w:rsidRDefault="00DE54BD" w:rsidP="00DE54BD">
      <w:pPr>
        <w:spacing w:after="120"/>
        <w:jc w:val="both"/>
        <w:rPr>
          <w:sz w:val="24"/>
          <w:szCs w:val="24"/>
        </w:rPr>
      </w:pPr>
      <w:r w:rsidRPr="00E206C4">
        <w:rPr>
          <w:sz w:val="24"/>
          <w:szCs w:val="24"/>
        </w:rPr>
        <w:t>Кандидатите нямат право да подават проектни предложения по процедурата</w:t>
      </w:r>
      <w:r w:rsidRPr="00E206C4">
        <w:rPr>
          <w:spacing w:val="-11"/>
          <w:sz w:val="24"/>
          <w:szCs w:val="24"/>
        </w:rPr>
        <w:t xml:space="preserve"> </w:t>
      </w:r>
      <w:r w:rsidRPr="00E206C4">
        <w:rPr>
          <w:sz w:val="24"/>
          <w:szCs w:val="24"/>
        </w:rPr>
        <w:t>за</w:t>
      </w:r>
      <w:r w:rsidRPr="00E206C4">
        <w:rPr>
          <w:spacing w:val="-12"/>
          <w:sz w:val="24"/>
          <w:szCs w:val="24"/>
        </w:rPr>
        <w:t xml:space="preserve"> </w:t>
      </w:r>
      <w:r w:rsidRPr="00E206C4">
        <w:rPr>
          <w:sz w:val="24"/>
          <w:szCs w:val="24"/>
        </w:rPr>
        <w:t>вече реализирани</w:t>
      </w:r>
      <w:r w:rsidRPr="00E206C4">
        <w:rPr>
          <w:spacing w:val="13"/>
          <w:sz w:val="24"/>
          <w:szCs w:val="24"/>
        </w:rPr>
        <w:t xml:space="preserve"> </w:t>
      </w:r>
      <w:r w:rsidRPr="00E206C4">
        <w:rPr>
          <w:sz w:val="24"/>
          <w:szCs w:val="24"/>
        </w:rPr>
        <w:t>дейности</w:t>
      </w:r>
      <w:r w:rsidRPr="00E206C4">
        <w:rPr>
          <w:spacing w:val="14"/>
          <w:sz w:val="24"/>
          <w:szCs w:val="24"/>
        </w:rPr>
        <w:t xml:space="preserve"> </w:t>
      </w:r>
      <w:r w:rsidRPr="00E206C4">
        <w:rPr>
          <w:sz w:val="24"/>
          <w:szCs w:val="24"/>
        </w:rPr>
        <w:t>или</w:t>
      </w:r>
      <w:r w:rsidRPr="00E206C4">
        <w:rPr>
          <w:spacing w:val="13"/>
          <w:sz w:val="24"/>
          <w:szCs w:val="24"/>
        </w:rPr>
        <w:t xml:space="preserve"> </w:t>
      </w:r>
      <w:r w:rsidRPr="00E206C4">
        <w:rPr>
          <w:sz w:val="24"/>
          <w:szCs w:val="24"/>
        </w:rPr>
        <w:t>такива,</w:t>
      </w:r>
      <w:r w:rsidRPr="00E206C4">
        <w:rPr>
          <w:spacing w:val="15"/>
          <w:sz w:val="24"/>
          <w:szCs w:val="24"/>
        </w:rPr>
        <w:t xml:space="preserve"> </w:t>
      </w:r>
      <w:r w:rsidRPr="00E206C4">
        <w:rPr>
          <w:sz w:val="24"/>
          <w:szCs w:val="24"/>
        </w:rPr>
        <w:t>финансирани</w:t>
      </w:r>
      <w:r w:rsidRPr="00E206C4">
        <w:rPr>
          <w:spacing w:val="14"/>
          <w:sz w:val="24"/>
          <w:szCs w:val="24"/>
        </w:rPr>
        <w:t xml:space="preserve"> </w:t>
      </w:r>
      <w:r w:rsidRPr="00E206C4">
        <w:rPr>
          <w:sz w:val="24"/>
          <w:szCs w:val="24"/>
        </w:rPr>
        <w:t>по</w:t>
      </w:r>
      <w:r w:rsidRPr="00E206C4">
        <w:rPr>
          <w:spacing w:val="14"/>
          <w:sz w:val="24"/>
          <w:szCs w:val="24"/>
        </w:rPr>
        <w:t xml:space="preserve"> </w:t>
      </w:r>
      <w:r w:rsidRPr="00E206C4">
        <w:rPr>
          <w:sz w:val="24"/>
          <w:szCs w:val="24"/>
        </w:rPr>
        <w:t>друг</w:t>
      </w:r>
      <w:r w:rsidRPr="00E206C4">
        <w:rPr>
          <w:spacing w:val="15"/>
          <w:sz w:val="24"/>
          <w:szCs w:val="24"/>
        </w:rPr>
        <w:t xml:space="preserve"> </w:t>
      </w:r>
      <w:r w:rsidRPr="00E206C4">
        <w:rPr>
          <w:sz w:val="24"/>
          <w:szCs w:val="24"/>
        </w:rPr>
        <w:t>проект,</w:t>
      </w:r>
      <w:r w:rsidRPr="00E206C4">
        <w:rPr>
          <w:spacing w:val="15"/>
          <w:sz w:val="24"/>
          <w:szCs w:val="24"/>
        </w:rPr>
        <w:t xml:space="preserve"> </w:t>
      </w:r>
      <w:r w:rsidRPr="00E206C4">
        <w:rPr>
          <w:sz w:val="24"/>
          <w:szCs w:val="24"/>
        </w:rPr>
        <w:t>програма</w:t>
      </w:r>
      <w:r w:rsidRPr="00E206C4">
        <w:rPr>
          <w:spacing w:val="15"/>
          <w:sz w:val="24"/>
          <w:szCs w:val="24"/>
        </w:rPr>
        <w:t xml:space="preserve"> </w:t>
      </w:r>
      <w:r w:rsidRPr="00E206C4">
        <w:rPr>
          <w:sz w:val="24"/>
          <w:szCs w:val="24"/>
        </w:rPr>
        <w:t>или</w:t>
      </w:r>
      <w:r w:rsidRPr="00E206C4">
        <w:rPr>
          <w:spacing w:val="17"/>
          <w:sz w:val="24"/>
          <w:szCs w:val="24"/>
        </w:rPr>
        <w:t xml:space="preserve"> </w:t>
      </w:r>
      <w:r w:rsidRPr="00E206C4">
        <w:rPr>
          <w:sz w:val="24"/>
          <w:szCs w:val="24"/>
        </w:rPr>
        <w:t>каквато и да е друга финансова схема, произлизаща от националния бюджет, бюджета на Общността или друга донорска програма.</w:t>
      </w:r>
    </w:p>
    <w:p w14:paraId="0491AED9" w14:textId="77777777" w:rsidR="00DE54BD" w:rsidRDefault="00DE54BD" w:rsidP="00DE54BD">
      <w:pPr>
        <w:spacing w:after="120"/>
        <w:jc w:val="both"/>
        <w:rPr>
          <w:sz w:val="24"/>
          <w:szCs w:val="24"/>
        </w:rPr>
      </w:pPr>
      <w:r w:rsidRPr="00E256E6">
        <w:rPr>
          <w:sz w:val="24"/>
          <w:szCs w:val="24"/>
        </w:rPr>
        <w:t xml:space="preserve">Недопустими са дейности, изпълнявани единствено за намаляване на текущите разходи на дадено предприятие, които не са свързани с горните инвестиции. </w:t>
      </w:r>
    </w:p>
    <w:p w14:paraId="42DBB5A8" w14:textId="63EAFB17" w:rsidR="00DE54BD" w:rsidRPr="00C12E01" w:rsidRDefault="00DE54BD" w:rsidP="00DE54BD">
      <w:pPr>
        <w:spacing w:after="120"/>
        <w:jc w:val="both"/>
        <w:rPr>
          <w:sz w:val="24"/>
          <w:szCs w:val="24"/>
        </w:rPr>
      </w:pPr>
      <w:r w:rsidRPr="00E256E6">
        <w:rPr>
          <w:sz w:val="24"/>
          <w:szCs w:val="24"/>
        </w:rPr>
        <w:t>Инвестицията следва да се поддържа на територията на МИГ от получателя най-малко три години след изпълнението на инвестицията. Посоченото изискване ще бъде проверявано както чрез извършване на проверки на място, включително и относно обстоятелството дали съответният актив е доставен, инсталиран, тестван и пуснат в експлоатация, отговаря на техническите спецификации, използва се на определеното място за целите на проекта, съгласно договора за безвъзмездна финансова помощ, така и чрез проследяване на изпълнението на индикаторите по т. 7.2.</w:t>
      </w:r>
    </w:p>
    <w:p w14:paraId="5C7EF822" w14:textId="77777777" w:rsidR="00BA633A" w:rsidRDefault="00BA633A" w:rsidP="00BA633A">
      <w:pPr>
        <w:pStyle w:val="3"/>
        <w:spacing w:before="5"/>
        <w:ind w:right="224" w:firstLine="720"/>
        <w:jc w:val="both"/>
      </w:pPr>
    </w:p>
    <w:p w14:paraId="707EA639" w14:textId="1F34A121" w:rsidR="00BA633A" w:rsidRPr="006A4DEF" w:rsidRDefault="00206907" w:rsidP="006A4DEF">
      <w:pPr>
        <w:pStyle w:val="2"/>
        <w:numPr>
          <w:ilvl w:val="0"/>
          <w:numId w:val="12"/>
        </w:numPr>
        <w:rPr>
          <w:color w:val="548DD4" w:themeColor="text2" w:themeTint="99"/>
        </w:rPr>
      </w:pPr>
      <w:r w:rsidRPr="006A4DEF">
        <w:rPr>
          <w:color w:val="548DD4" w:themeColor="text2" w:themeTint="99"/>
        </w:rPr>
        <w:t xml:space="preserve">Допустими проекти </w:t>
      </w:r>
    </w:p>
    <w:p w14:paraId="48AFE567" w14:textId="77777777" w:rsidR="00BA633A" w:rsidRPr="00BA633A" w:rsidRDefault="00BA633A" w:rsidP="00BA633A">
      <w:pPr>
        <w:pStyle w:val="3"/>
        <w:spacing w:before="5"/>
        <w:ind w:right="224" w:firstLine="720"/>
        <w:jc w:val="both"/>
      </w:pPr>
    </w:p>
    <w:p w14:paraId="64409215" w14:textId="77777777" w:rsidR="00D27637" w:rsidRDefault="00D27637" w:rsidP="00D27637">
      <w:pPr>
        <w:contextualSpacing/>
        <w:jc w:val="both"/>
        <w:rPr>
          <w:rFonts w:eastAsia="Calibri"/>
          <w:b/>
          <w:sz w:val="24"/>
          <w:szCs w:val="24"/>
        </w:rPr>
      </w:pPr>
      <w:bookmarkStart w:id="1" w:name="_Hlk49872663"/>
      <w:r w:rsidRPr="00FF085F">
        <w:rPr>
          <w:rFonts w:eastAsia="Calibri"/>
          <w:b/>
          <w:sz w:val="24"/>
          <w:szCs w:val="24"/>
        </w:rPr>
        <w:t>Допустими проекти по</w:t>
      </w:r>
      <w:r>
        <w:rPr>
          <w:rFonts w:eastAsia="Calibri"/>
          <w:b/>
          <w:sz w:val="24"/>
          <w:szCs w:val="24"/>
        </w:rPr>
        <w:t xml:space="preserve"> настоящата процедура са: </w:t>
      </w:r>
    </w:p>
    <w:p w14:paraId="1C312891" w14:textId="77777777" w:rsidR="00D27637" w:rsidRDefault="00D27637" w:rsidP="00D27637">
      <w:pPr>
        <w:contextualSpacing/>
        <w:jc w:val="both"/>
        <w:rPr>
          <w:rFonts w:eastAsia="Calibri"/>
          <w:b/>
          <w:sz w:val="24"/>
          <w:szCs w:val="24"/>
        </w:rPr>
      </w:pPr>
    </w:p>
    <w:p w14:paraId="24EDFC99" w14:textId="77777777" w:rsidR="00D27637" w:rsidRPr="00F02144" w:rsidRDefault="00D27637" w:rsidP="00D27637">
      <w:pPr>
        <w:contextualSpacing/>
        <w:jc w:val="both"/>
        <w:rPr>
          <w:rFonts w:eastAsia="Calibri"/>
          <w:b/>
          <w:sz w:val="24"/>
          <w:szCs w:val="24"/>
        </w:rPr>
      </w:pPr>
      <w:r w:rsidRPr="00F02144">
        <w:rPr>
          <w:rFonts w:eastAsia="Calibri"/>
          <w:b/>
          <w:sz w:val="24"/>
          <w:szCs w:val="24"/>
          <w:lang w:val="ru-RU"/>
        </w:rPr>
        <w:t>1</w:t>
      </w:r>
      <w:r w:rsidRPr="00F02144">
        <w:rPr>
          <w:rFonts w:eastAsia="Calibri"/>
          <w:b/>
          <w:sz w:val="24"/>
          <w:szCs w:val="24"/>
        </w:rPr>
        <w:t>.</w:t>
      </w:r>
      <w:r w:rsidRPr="00F02144">
        <w:rPr>
          <w:rFonts w:eastAsia="Calibri"/>
          <w:b/>
          <w:sz w:val="24"/>
          <w:szCs w:val="24"/>
          <w:lang w:val="ru-RU"/>
        </w:rPr>
        <w:t xml:space="preserve"> </w:t>
      </w:r>
      <w:r w:rsidRPr="00F02144">
        <w:rPr>
          <w:rFonts w:eastAsia="Calibri"/>
          <w:b/>
          <w:sz w:val="24"/>
          <w:szCs w:val="24"/>
        </w:rPr>
        <w:t>Изпълнението на проектите следва да води до постигане на заложените цели в одобрената стратегия за местно развитие и постигане на положителен ефект върху развитието на устойчива пазарна конкурентоспособност на МСП на териториите на МИГ</w:t>
      </w:r>
      <w:r>
        <w:rPr>
          <w:rFonts w:eastAsia="Calibri"/>
          <w:b/>
          <w:sz w:val="24"/>
          <w:szCs w:val="24"/>
        </w:rPr>
        <w:t xml:space="preserve"> „Струма – Симитли, Кресна и </w:t>
      </w:r>
      <w:proofErr w:type="gramStart"/>
      <w:r>
        <w:rPr>
          <w:rFonts w:eastAsia="Calibri"/>
          <w:b/>
          <w:sz w:val="24"/>
          <w:szCs w:val="24"/>
        </w:rPr>
        <w:t xml:space="preserve">Струмяни“ </w:t>
      </w:r>
      <w:r w:rsidRPr="00F02144">
        <w:rPr>
          <w:rFonts w:eastAsia="Calibri"/>
          <w:b/>
          <w:sz w:val="24"/>
          <w:szCs w:val="24"/>
        </w:rPr>
        <w:t>с</w:t>
      </w:r>
      <w:proofErr w:type="gramEnd"/>
      <w:r w:rsidRPr="00F02144">
        <w:rPr>
          <w:rFonts w:eastAsia="Calibri"/>
          <w:b/>
          <w:sz w:val="24"/>
          <w:szCs w:val="24"/>
        </w:rPr>
        <w:t xml:space="preserve"> цел насърчаване на предприемачеството, подобряване на производствените процеси, повишаване на производствения капацитет и засилване на експортния потенциал на предприятията.</w:t>
      </w:r>
    </w:p>
    <w:p w14:paraId="59003CB7" w14:textId="77777777" w:rsidR="00D27637" w:rsidRPr="00172CAF" w:rsidRDefault="00D27637" w:rsidP="00D27637">
      <w:pPr>
        <w:contextualSpacing/>
        <w:jc w:val="both"/>
        <w:rPr>
          <w:rFonts w:eastAsia="Calibri"/>
          <w:b/>
          <w:i/>
          <w:sz w:val="24"/>
          <w:szCs w:val="24"/>
          <w:lang w:val="ru-RU"/>
        </w:rPr>
      </w:pPr>
    </w:p>
    <w:p w14:paraId="79262F17" w14:textId="77777777" w:rsidR="00D27637" w:rsidRPr="00391A15" w:rsidRDefault="00D27637" w:rsidP="00D27637">
      <w:pPr>
        <w:spacing w:after="120"/>
        <w:jc w:val="both"/>
        <w:rPr>
          <w:rFonts w:eastAsia="Calibri"/>
          <w:b/>
          <w:sz w:val="24"/>
          <w:szCs w:val="24"/>
        </w:rPr>
      </w:pPr>
      <w:r w:rsidRPr="00A95A61">
        <w:rPr>
          <w:rFonts w:eastAsia="Calibri"/>
          <w:b/>
          <w:sz w:val="24"/>
          <w:szCs w:val="24"/>
          <w:lang w:val="ru-RU"/>
        </w:rPr>
        <w:t>2</w:t>
      </w:r>
      <w:r w:rsidRPr="00A95A61">
        <w:rPr>
          <w:rFonts w:eastAsia="Calibri"/>
          <w:b/>
          <w:sz w:val="24"/>
          <w:szCs w:val="24"/>
        </w:rPr>
        <w:t xml:space="preserve">. Проектите са в съответствие с хоризонталните политики съгласно чл. 7 и чл. 8 на </w:t>
      </w:r>
      <w:r w:rsidRPr="00391A15">
        <w:rPr>
          <w:rFonts w:eastAsia="Calibri"/>
          <w:b/>
          <w:sz w:val="24"/>
          <w:szCs w:val="24"/>
        </w:rPr>
        <w:t>Регламент (ЕС) № 1303/2013 на Европейския парламент и на Съвета.</w:t>
      </w:r>
    </w:p>
    <w:p w14:paraId="48E973CD" w14:textId="77777777" w:rsidR="00D27637" w:rsidRPr="00A95A61" w:rsidRDefault="00D27637" w:rsidP="00D27637">
      <w:pPr>
        <w:spacing w:after="120"/>
        <w:jc w:val="both"/>
        <w:rPr>
          <w:rFonts w:eastAsia="Calibri"/>
          <w:b/>
          <w:i/>
          <w:sz w:val="24"/>
          <w:szCs w:val="24"/>
          <w:lang w:val="ru-RU"/>
        </w:rPr>
      </w:pPr>
      <w:r w:rsidRPr="00391A15">
        <w:rPr>
          <w:sz w:val="24"/>
          <w:szCs w:val="24"/>
        </w:rPr>
        <w:t xml:space="preserve">Предвижда се документална проверка за съответствие на проектните предложения с хоризонталните политики съгласно чл. 7 и чл. 8 на Регламент (ЕС) № 1303/2013 на Европейския парламент и на Съвета. Съответствието ще бъде проследявано както на етап оценка на проектните </w:t>
      </w:r>
      <w:r w:rsidRPr="00391A15">
        <w:rPr>
          <w:sz w:val="24"/>
          <w:szCs w:val="24"/>
        </w:rPr>
        <w:lastRenderedPageBreak/>
        <w:t>предложения, така и на етап изпълнение на проектите.</w:t>
      </w:r>
    </w:p>
    <w:p w14:paraId="3F0C4F6C" w14:textId="5CD344F9" w:rsidR="00D27637" w:rsidRPr="00A95A61" w:rsidRDefault="00D27637" w:rsidP="00D27637">
      <w:pPr>
        <w:spacing w:after="120"/>
        <w:jc w:val="both"/>
        <w:rPr>
          <w:rFonts w:eastAsia="Calibri"/>
          <w:b/>
          <w:sz w:val="24"/>
          <w:szCs w:val="24"/>
        </w:rPr>
      </w:pPr>
      <w:r w:rsidRPr="00A95A61">
        <w:rPr>
          <w:rFonts w:eastAsia="Calibri"/>
          <w:b/>
          <w:sz w:val="24"/>
          <w:szCs w:val="24"/>
          <w:lang w:val="ru-RU"/>
        </w:rPr>
        <w:t>3</w:t>
      </w:r>
      <w:r w:rsidRPr="00A95A61">
        <w:rPr>
          <w:rFonts w:eastAsia="Calibri"/>
          <w:b/>
          <w:sz w:val="24"/>
          <w:szCs w:val="24"/>
        </w:rPr>
        <w:t xml:space="preserve">. Дейностите по проектите попадат </w:t>
      </w:r>
      <w:proofErr w:type="gramStart"/>
      <w:r w:rsidRPr="00A95A61">
        <w:rPr>
          <w:rFonts w:eastAsia="Calibri"/>
          <w:b/>
          <w:sz w:val="24"/>
          <w:szCs w:val="24"/>
        </w:rPr>
        <w:t>в обхвата</w:t>
      </w:r>
      <w:proofErr w:type="gramEnd"/>
      <w:r w:rsidRPr="00A95A61">
        <w:rPr>
          <w:rFonts w:eastAsia="Calibri"/>
          <w:b/>
          <w:sz w:val="24"/>
          <w:szCs w:val="24"/>
          <w:lang w:val="ru-RU"/>
        </w:rPr>
        <w:t xml:space="preserve"> </w:t>
      </w:r>
      <w:r w:rsidRPr="00A95A61">
        <w:rPr>
          <w:rFonts w:eastAsia="Calibri"/>
          <w:b/>
          <w:sz w:val="24"/>
          <w:szCs w:val="24"/>
        </w:rPr>
        <w:t xml:space="preserve">на </w:t>
      </w:r>
      <w:r w:rsidRPr="00A95A61">
        <w:rPr>
          <w:b/>
          <w:sz w:val="24"/>
          <w:szCs w:val="24"/>
        </w:rPr>
        <w:t>определените в Националната стратегия за насърчаване на малките и средните предприятия 2014-2020 сектори по Инвестиционен приоритет 2.2 „Капацитет за растеж на МСП”, подробно изброени в раздел 11.1</w:t>
      </w:r>
      <w:r w:rsidR="00CF4153">
        <w:rPr>
          <w:b/>
          <w:sz w:val="24"/>
          <w:szCs w:val="24"/>
        </w:rPr>
        <w:t xml:space="preserve"> от Условията за кандидатстване</w:t>
      </w:r>
      <w:r w:rsidRPr="00A95A61">
        <w:rPr>
          <w:b/>
          <w:sz w:val="24"/>
          <w:szCs w:val="24"/>
        </w:rPr>
        <w:t>.</w:t>
      </w:r>
    </w:p>
    <w:p w14:paraId="564FB4CE" w14:textId="77777777" w:rsidR="00D27637" w:rsidRPr="00B84A45" w:rsidRDefault="00D27637" w:rsidP="00D27637">
      <w:pPr>
        <w:contextualSpacing/>
        <w:jc w:val="both"/>
        <w:rPr>
          <w:rFonts w:eastAsia="Calibri"/>
          <w:sz w:val="24"/>
          <w:szCs w:val="24"/>
        </w:rPr>
      </w:pPr>
      <w:r w:rsidRPr="00B84A45">
        <w:rPr>
          <w:rFonts w:eastAsia="Calibri"/>
          <w:b/>
          <w:sz w:val="24"/>
          <w:szCs w:val="24"/>
        </w:rPr>
        <w:t>ВАЖНО:</w:t>
      </w:r>
      <w:r w:rsidRPr="00B84A45">
        <w:rPr>
          <w:rFonts w:eastAsia="Calibri"/>
          <w:sz w:val="24"/>
          <w:szCs w:val="24"/>
        </w:rPr>
        <w:t xml:space="preserve"> Производството на </w:t>
      </w:r>
      <w:proofErr w:type="spellStart"/>
      <w:r w:rsidRPr="00B84A45">
        <w:rPr>
          <w:rFonts w:eastAsia="Calibri"/>
          <w:sz w:val="24"/>
          <w:szCs w:val="24"/>
        </w:rPr>
        <w:t>пелети</w:t>
      </w:r>
      <w:proofErr w:type="spellEnd"/>
      <w:r w:rsidRPr="00B84A45">
        <w:rPr>
          <w:rFonts w:eastAsia="Calibri"/>
          <w:sz w:val="24"/>
          <w:szCs w:val="24"/>
        </w:rPr>
        <w:t xml:space="preserve"> (което е част от код С16.29) е недопустимо по настоящата процедура, с изключение на </w:t>
      </w:r>
      <w:proofErr w:type="spellStart"/>
      <w:r w:rsidRPr="00B84A45">
        <w:rPr>
          <w:rFonts w:eastAsia="Calibri"/>
          <w:sz w:val="24"/>
          <w:szCs w:val="24"/>
        </w:rPr>
        <w:t>пелети</w:t>
      </w:r>
      <w:proofErr w:type="spellEnd"/>
      <w:r w:rsidRPr="00B84A45">
        <w:rPr>
          <w:rFonts w:eastAsia="Calibri"/>
          <w:sz w:val="24"/>
          <w:szCs w:val="24"/>
        </w:rPr>
        <w:t xml:space="preserve"> получени от индустриалната преработка на дървесина. Производството на дърва за горене, изделия от корк, слама и материали за плетене (което също е част от код С16.29) е недопустимо по настоящата процедура.</w:t>
      </w:r>
    </w:p>
    <w:bookmarkEnd w:id="1"/>
    <w:p w14:paraId="2323FE78" w14:textId="7F054DB4" w:rsidR="00D27637" w:rsidRDefault="00D27637" w:rsidP="00D27637">
      <w:pPr>
        <w:tabs>
          <w:tab w:val="left" w:pos="2970"/>
        </w:tabs>
        <w:rPr>
          <w:rFonts w:eastAsia="Calibri"/>
          <w:sz w:val="24"/>
          <w:szCs w:val="24"/>
        </w:rPr>
      </w:pPr>
    </w:p>
    <w:p w14:paraId="0EBABBDC" w14:textId="5F55F0D7" w:rsidR="0026304E" w:rsidRPr="00BA633A" w:rsidRDefault="00D27637" w:rsidP="00D27637">
      <w:pPr>
        <w:tabs>
          <w:tab w:val="left" w:pos="2970"/>
        </w:tabs>
      </w:pPr>
      <w:r>
        <w:rPr>
          <w:rFonts w:eastAsia="Calibri"/>
          <w:sz w:val="24"/>
          <w:szCs w:val="24"/>
        </w:rPr>
        <w:tab/>
      </w:r>
    </w:p>
    <w:p w14:paraId="00D95633" w14:textId="12C4FB5D" w:rsidR="00F55EC3" w:rsidRDefault="00F55EC3" w:rsidP="006A4DEF">
      <w:pPr>
        <w:pStyle w:val="2"/>
        <w:numPr>
          <w:ilvl w:val="0"/>
          <w:numId w:val="12"/>
        </w:numPr>
        <w:rPr>
          <w:bCs w:val="0"/>
          <w:color w:val="548DD4" w:themeColor="text2" w:themeTint="99"/>
        </w:rPr>
      </w:pPr>
      <w:r w:rsidRPr="006A4DEF">
        <w:rPr>
          <w:bCs w:val="0"/>
          <w:color w:val="548DD4" w:themeColor="text2" w:themeTint="99"/>
        </w:rPr>
        <w:t>Начин на подаване на проектни предложения</w:t>
      </w:r>
    </w:p>
    <w:p w14:paraId="2CCC8346" w14:textId="5DA01FB2" w:rsidR="00F55EC3" w:rsidRPr="00F55EC3" w:rsidRDefault="00F55EC3" w:rsidP="00F55EC3">
      <w:pPr>
        <w:tabs>
          <w:tab w:val="left" w:pos="284"/>
        </w:tabs>
        <w:spacing w:before="120" w:after="120"/>
        <w:jc w:val="both"/>
        <w:rPr>
          <w:sz w:val="24"/>
          <w:szCs w:val="24"/>
        </w:rPr>
      </w:pPr>
      <w:r w:rsidRPr="00F55EC3">
        <w:rPr>
          <w:sz w:val="24"/>
          <w:szCs w:val="24"/>
        </w:rPr>
        <w:t xml:space="preserve">Подаването на проектното предложение по настоящата процедура се извършва изцяло по електронен път чрез попълване на уеб базиран формуляр за кандидатстване. Подаването на формуляра и придружителните документи чрез Информационната система за управление и наблюдение на Структурните инструменти на ЕС в България (ИСУН 2020) се извършва единствено с използването на валиден Квалифициран електронен подпис (КЕП), чрез модула „Е-кандидатстване“ на следния интернет адрес: </w:t>
      </w:r>
      <w:hyperlink r:id="rId9" w:history="1">
        <w:r w:rsidRPr="00F55EC3">
          <w:rPr>
            <w:rStyle w:val="a6"/>
            <w:sz w:val="24"/>
            <w:szCs w:val="24"/>
          </w:rPr>
          <w:t>https://eumis2020.government.bg</w:t>
        </w:r>
      </w:hyperlink>
      <w:r w:rsidRPr="00F55EC3">
        <w:rPr>
          <w:sz w:val="24"/>
          <w:szCs w:val="24"/>
        </w:rPr>
        <w:t>.</w:t>
      </w:r>
    </w:p>
    <w:p w14:paraId="3CD4D65E" w14:textId="466E7CAC" w:rsidR="00F55EC3" w:rsidRDefault="00F55EC3" w:rsidP="00F55EC3">
      <w:pPr>
        <w:tabs>
          <w:tab w:val="left" w:pos="284"/>
        </w:tabs>
        <w:spacing w:before="120" w:after="120"/>
        <w:jc w:val="both"/>
        <w:rPr>
          <w:b/>
          <w:sz w:val="24"/>
          <w:szCs w:val="24"/>
        </w:rPr>
      </w:pPr>
      <w:r w:rsidRPr="00F55EC3">
        <w:rPr>
          <w:b/>
          <w:sz w:val="24"/>
          <w:szCs w:val="24"/>
        </w:rPr>
        <w:t>Подаването на проектни предложения на хартиен носител по настоящата процедура е неприложимо!</w:t>
      </w:r>
    </w:p>
    <w:p w14:paraId="7A9C7104" w14:textId="77777777" w:rsidR="00EB0A10" w:rsidRDefault="00EB0A10" w:rsidP="00EB0A10">
      <w:pPr>
        <w:pStyle w:val="2"/>
        <w:spacing w:before="90"/>
        <w:ind w:left="0"/>
        <w:jc w:val="both"/>
        <w:rPr>
          <w:b w:val="0"/>
          <w:bCs w:val="0"/>
        </w:rPr>
      </w:pPr>
      <w:r w:rsidRPr="006A4DEF">
        <w:rPr>
          <w:b w:val="0"/>
          <w:bCs w:val="0"/>
        </w:rPr>
        <w:t>Кандидатите могат да задават допълнителни въпроси и да искат разяснения във връзка с Условията за кандидатстване до 3 седмици преди крайния срок за подаване на проектни предложения. Допълнителни въпроси могат да се задават само по електронната поща, посочена по- долу, като ясно се посочва наименованието на процедурата за подбор на проекти:</w:t>
      </w:r>
    </w:p>
    <w:p w14:paraId="5EA891C0" w14:textId="77777777" w:rsidR="00EB0A10" w:rsidRPr="006A4DEF" w:rsidRDefault="00EB0A10" w:rsidP="00EB0A10">
      <w:pPr>
        <w:pStyle w:val="a3"/>
        <w:spacing w:before="5"/>
        <w:jc w:val="both"/>
      </w:pPr>
    </w:p>
    <w:p w14:paraId="03EC50CA" w14:textId="77777777" w:rsidR="00EB0A10" w:rsidRPr="00BA633A" w:rsidRDefault="00EB0A10" w:rsidP="00EB0A10">
      <w:pPr>
        <w:pStyle w:val="2"/>
        <w:ind w:left="0"/>
      </w:pPr>
      <w:r w:rsidRPr="00BA633A">
        <w:rPr>
          <w:b w:val="0"/>
          <w:spacing w:val="-60"/>
          <w:u w:val="thick"/>
        </w:rPr>
        <w:t xml:space="preserve"> </w:t>
      </w:r>
      <w:r w:rsidRPr="00BA633A">
        <w:rPr>
          <w:u w:val="thick"/>
        </w:rPr>
        <w:t>Лице/а за контакт и място за достъп до подробна информация</w:t>
      </w:r>
      <w:r w:rsidRPr="00BA633A">
        <w:t>:</w:t>
      </w:r>
    </w:p>
    <w:p w14:paraId="1BE4074A" w14:textId="77777777" w:rsidR="00EB0A10" w:rsidRPr="00BA633A" w:rsidRDefault="00EB0A10" w:rsidP="00EB0A10">
      <w:pPr>
        <w:pStyle w:val="a3"/>
        <w:spacing w:before="9"/>
        <w:rPr>
          <w:b/>
        </w:rPr>
      </w:pPr>
    </w:p>
    <w:p w14:paraId="15F85450" w14:textId="77777777" w:rsidR="00EB0A10" w:rsidRPr="00BA633A" w:rsidRDefault="00EB0A10" w:rsidP="00EB0A10">
      <w:pPr>
        <w:spacing w:after="120" w:line="23" w:lineRule="atLeast"/>
        <w:jc w:val="both"/>
        <w:rPr>
          <w:sz w:val="24"/>
          <w:szCs w:val="24"/>
        </w:rPr>
      </w:pPr>
      <w:r w:rsidRPr="00BA633A">
        <w:rPr>
          <w:sz w:val="24"/>
          <w:szCs w:val="24"/>
        </w:rPr>
        <w:t xml:space="preserve">Лица за контакт: Веселин Димитров , тел. 0882 44 48 55; </w:t>
      </w:r>
    </w:p>
    <w:p w14:paraId="72C73DE7" w14:textId="77777777" w:rsidR="00EB0A10" w:rsidRDefault="00EB0A10" w:rsidP="00EB0A10">
      <w:pPr>
        <w:spacing w:after="120" w:line="23" w:lineRule="atLeast"/>
        <w:jc w:val="both"/>
        <w:rPr>
          <w:sz w:val="24"/>
          <w:szCs w:val="24"/>
        </w:rPr>
      </w:pPr>
      <w:r w:rsidRPr="00BA633A">
        <w:rPr>
          <w:sz w:val="24"/>
          <w:szCs w:val="24"/>
        </w:rPr>
        <w:tab/>
      </w:r>
      <w:r w:rsidRPr="00BA633A">
        <w:rPr>
          <w:sz w:val="24"/>
          <w:szCs w:val="24"/>
        </w:rPr>
        <w:tab/>
        <w:t xml:space="preserve">      Ивайло Костадинов, тел. 0882 44 48 26.</w:t>
      </w:r>
    </w:p>
    <w:p w14:paraId="609EB3A3" w14:textId="77777777" w:rsidR="00EB0A10" w:rsidRPr="00E02096" w:rsidRDefault="00EB0A10" w:rsidP="00EB0A10">
      <w:pPr>
        <w:spacing w:after="120" w:line="23" w:lineRule="atLeast"/>
        <w:jc w:val="both"/>
        <w:rPr>
          <w:sz w:val="24"/>
          <w:szCs w:val="24"/>
        </w:rPr>
      </w:pPr>
      <w:r>
        <w:rPr>
          <w:sz w:val="24"/>
          <w:szCs w:val="24"/>
        </w:rPr>
        <w:t xml:space="preserve">                              </w:t>
      </w:r>
      <w:r w:rsidRPr="00BA633A">
        <w:rPr>
          <w:sz w:val="24"/>
          <w:szCs w:val="24"/>
        </w:rPr>
        <w:t>е-</w:t>
      </w:r>
      <w:proofErr w:type="spellStart"/>
      <w:r w:rsidRPr="00BA633A">
        <w:rPr>
          <w:sz w:val="24"/>
          <w:szCs w:val="24"/>
        </w:rPr>
        <w:t>mail</w:t>
      </w:r>
      <w:proofErr w:type="spellEnd"/>
      <w:r w:rsidRPr="00BA633A">
        <w:rPr>
          <w:sz w:val="24"/>
          <w:szCs w:val="24"/>
        </w:rPr>
        <w:t xml:space="preserve">: </w:t>
      </w:r>
      <w:r w:rsidRPr="00BA633A">
        <w:rPr>
          <w:rStyle w:val="a6"/>
          <w:sz w:val="24"/>
          <w:szCs w:val="24"/>
          <w:lang w:val="en-US"/>
        </w:rPr>
        <w:t>lag</w:t>
      </w:r>
      <w:r w:rsidRPr="00E02096">
        <w:rPr>
          <w:rStyle w:val="a6"/>
          <w:sz w:val="24"/>
          <w:szCs w:val="24"/>
        </w:rPr>
        <w:t>.</w:t>
      </w:r>
      <w:proofErr w:type="spellStart"/>
      <w:r w:rsidRPr="00BA633A">
        <w:rPr>
          <w:rStyle w:val="a6"/>
          <w:sz w:val="24"/>
          <w:szCs w:val="24"/>
          <w:lang w:val="en-US"/>
        </w:rPr>
        <w:t>simitli</w:t>
      </w:r>
      <w:proofErr w:type="spellEnd"/>
      <w:r w:rsidRPr="00E02096">
        <w:rPr>
          <w:rStyle w:val="a6"/>
          <w:sz w:val="24"/>
          <w:szCs w:val="24"/>
        </w:rPr>
        <w:t>.</w:t>
      </w:r>
      <w:proofErr w:type="spellStart"/>
      <w:r w:rsidRPr="00BA633A">
        <w:rPr>
          <w:rStyle w:val="a6"/>
          <w:sz w:val="24"/>
          <w:szCs w:val="24"/>
          <w:lang w:val="en-US"/>
        </w:rPr>
        <w:t>kresna</w:t>
      </w:r>
      <w:proofErr w:type="spellEnd"/>
      <w:r w:rsidRPr="00E02096">
        <w:rPr>
          <w:rStyle w:val="a6"/>
          <w:sz w:val="24"/>
          <w:szCs w:val="24"/>
        </w:rPr>
        <w:t>.</w:t>
      </w:r>
      <w:proofErr w:type="spellStart"/>
      <w:r w:rsidRPr="00BA633A">
        <w:rPr>
          <w:rStyle w:val="a6"/>
          <w:sz w:val="24"/>
          <w:szCs w:val="24"/>
          <w:lang w:val="en-US"/>
        </w:rPr>
        <w:t>strumiani</w:t>
      </w:r>
      <w:proofErr w:type="spellEnd"/>
      <w:r w:rsidRPr="00E02096">
        <w:rPr>
          <w:rStyle w:val="a6"/>
          <w:sz w:val="24"/>
          <w:szCs w:val="24"/>
        </w:rPr>
        <w:t>@</w:t>
      </w:r>
      <w:proofErr w:type="spellStart"/>
      <w:r w:rsidRPr="00BA633A">
        <w:rPr>
          <w:rStyle w:val="a6"/>
          <w:sz w:val="24"/>
          <w:szCs w:val="24"/>
          <w:lang w:val="en-US"/>
        </w:rPr>
        <w:t>gmail</w:t>
      </w:r>
      <w:proofErr w:type="spellEnd"/>
      <w:r w:rsidRPr="00E02096">
        <w:rPr>
          <w:rStyle w:val="a6"/>
          <w:sz w:val="24"/>
          <w:szCs w:val="24"/>
        </w:rPr>
        <w:t>.</w:t>
      </w:r>
      <w:r w:rsidRPr="00BA633A">
        <w:rPr>
          <w:rStyle w:val="a6"/>
          <w:sz w:val="24"/>
          <w:szCs w:val="24"/>
          <w:lang w:val="en-US"/>
        </w:rPr>
        <w:t>com</w:t>
      </w:r>
    </w:p>
    <w:p w14:paraId="435E63A2" w14:textId="77777777" w:rsidR="00EB0A10" w:rsidRPr="00BA633A" w:rsidRDefault="00EB0A10" w:rsidP="00EB0A10">
      <w:pPr>
        <w:spacing w:after="120" w:line="23" w:lineRule="atLeast"/>
        <w:jc w:val="both"/>
        <w:rPr>
          <w:sz w:val="24"/>
          <w:szCs w:val="24"/>
        </w:rPr>
      </w:pPr>
    </w:p>
    <w:p w14:paraId="17211B84" w14:textId="77777777" w:rsidR="00EB0A10" w:rsidRPr="002F220F" w:rsidRDefault="00EB0A10" w:rsidP="00EB0A10">
      <w:pPr>
        <w:spacing w:after="120" w:line="23" w:lineRule="atLeast"/>
        <w:jc w:val="both"/>
        <w:rPr>
          <w:b/>
          <w:sz w:val="24"/>
          <w:szCs w:val="24"/>
          <w:u w:val="single"/>
        </w:rPr>
      </w:pPr>
      <w:r w:rsidRPr="002F220F">
        <w:rPr>
          <w:b/>
          <w:sz w:val="24"/>
          <w:szCs w:val="24"/>
          <w:u w:val="single"/>
        </w:rPr>
        <w:t>Пълният пакет документи за кандидатстване са публикувани на следните интернет адреси:</w:t>
      </w:r>
    </w:p>
    <w:p w14:paraId="1F6BF467" w14:textId="19082DF7" w:rsidR="00EB0A10" w:rsidRPr="00D538C8" w:rsidRDefault="00EB0A10" w:rsidP="00D538C8">
      <w:pPr>
        <w:widowControl/>
        <w:numPr>
          <w:ilvl w:val="0"/>
          <w:numId w:val="13"/>
        </w:numPr>
        <w:tabs>
          <w:tab w:val="left" w:pos="142"/>
        </w:tabs>
        <w:autoSpaceDE/>
        <w:autoSpaceDN/>
        <w:snapToGrid w:val="0"/>
        <w:spacing w:after="120" w:line="23" w:lineRule="atLeast"/>
        <w:jc w:val="both"/>
        <w:rPr>
          <w:b/>
          <w:sz w:val="24"/>
          <w:szCs w:val="24"/>
        </w:rPr>
      </w:pPr>
      <w:r w:rsidRPr="00BA633A">
        <w:rPr>
          <w:sz w:val="24"/>
          <w:szCs w:val="24"/>
        </w:rPr>
        <w:t xml:space="preserve">на сайта на Сдружение „МИГ Струма-Симитли, Кресна и Струмяни“ - </w:t>
      </w:r>
      <w:hyperlink r:id="rId10" w:history="1">
        <w:r w:rsidRPr="00BA633A">
          <w:rPr>
            <w:rStyle w:val="a6"/>
            <w:sz w:val="24"/>
            <w:szCs w:val="24"/>
          </w:rPr>
          <w:t>http://www.mig-</w:t>
        </w:r>
        <w:proofErr w:type="spellStart"/>
        <w:r w:rsidRPr="00BA633A">
          <w:rPr>
            <w:rStyle w:val="a6"/>
            <w:sz w:val="24"/>
            <w:szCs w:val="24"/>
            <w:lang w:val="en-US"/>
          </w:rPr>
          <w:t>struma</w:t>
        </w:r>
        <w:proofErr w:type="spellEnd"/>
        <w:r w:rsidRPr="00BA633A">
          <w:rPr>
            <w:rStyle w:val="a6"/>
            <w:sz w:val="24"/>
            <w:szCs w:val="24"/>
          </w:rPr>
          <w:t>.</w:t>
        </w:r>
        <w:proofErr w:type="spellStart"/>
        <w:r w:rsidRPr="00BA633A">
          <w:rPr>
            <w:rStyle w:val="a6"/>
            <w:sz w:val="24"/>
            <w:szCs w:val="24"/>
          </w:rPr>
          <w:t>eu</w:t>
        </w:r>
        <w:proofErr w:type="spellEnd"/>
        <w:r w:rsidRPr="00BA633A">
          <w:rPr>
            <w:rStyle w:val="a6"/>
            <w:sz w:val="24"/>
            <w:szCs w:val="24"/>
          </w:rPr>
          <w:t>/</w:t>
        </w:r>
      </w:hyperlink>
      <w:r w:rsidR="00D538C8" w:rsidRPr="00D538C8">
        <w:rPr>
          <w:sz w:val="24"/>
          <w:szCs w:val="24"/>
        </w:rPr>
        <w:t>.</w:t>
      </w:r>
      <w:r w:rsidR="00CF4153" w:rsidRPr="00D538C8">
        <w:rPr>
          <w:sz w:val="24"/>
          <w:szCs w:val="24"/>
        </w:rPr>
        <w:t xml:space="preserve"> </w:t>
      </w:r>
    </w:p>
    <w:p w14:paraId="70FB8CD8" w14:textId="77777777" w:rsidR="006A4DEF" w:rsidRPr="00F55EC3" w:rsidRDefault="006A4DEF" w:rsidP="00F55EC3">
      <w:pPr>
        <w:tabs>
          <w:tab w:val="left" w:pos="284"/>
        </w:tabs>
        <w:spacing w:before="120" w:after="120"/>
        <w:jc w:val="both"/>
        <w:rPr>
          <w:b/>
          <w:sz w:val="24"/>
          <w:szCs w:val="24"/>
        </w:rPr>
      </w:pPr>
    </w:p>
    <w:p w14:paraId="335DA9D8" w14:textId="77777777" w:rsidR="00947F3C" w:rsidRDefault="00F55EC3" w:rsidP="00947F3C">
      <w:pPr>
        <w:pStyle w:val="2"/>
        <w:numPr>
          <w:ilvl w:val="0"/>
          <w:numId w:val="12"/>
        </w:numPr>
        <w:spacing w:after="120"/>
        <w:rPr>
          <w:bCs w:val="0"/>
          <w:color w:val="548DD4" w:themeColor="text2" w:themeTint="99"/>
        </w:rPr>
      </w:pPr>
      <w:r w:rsidRPr="006A4DEF">
        <w:rPr>
          <w:bCs w:val="0"/>
          <w:color w:val="548DD4" w:themeColor="text2" w:themeTint="99"/>
        </w:rPr>
        <w:t>Краен срок за подаване на проектните предложени</w:t>
      </w:r>
    </w:p>
    <w:p w14:paraId="129E639A" w14:textId="77777777" w:rsidR="00EB0A10" w:rsidRPr="00EB0A10" w:rsidRDefault="00EB0A10" w:rsidP="00EB0A10">
      <w:pPr>
        <w:spacing w:after="120"/>
        <w:rPr>
          <w:b/>
          <w:sz w:val="24"/>
          <w:szCs w:val="24"/>
        </w:rPr>
      </w:pPr>
      <w:r w:rsidRPr="00EB0A10">
        <w:rPr>
          <w:b/>
          <w:sz w:val="24"/>
          <w:szCs w:val="24"/>
        </w:rPr>
        <w:t>Процедурата е с два крайни срока за кандидатстване:</w:t>
      </w:r>
    </w:p>
    <w:p w14:paraId="615FD2E0" w14:textId="37CAC6F3" w:rsidR="00EB0A10" w:rsidRPr="00EB0A10" w:rsidRDefault="00EB0A10" w:rsidP="00EB0A10">
      <w:pPr>
        <w:spacing w:after="120"/>
        <w:ind w:left="720"/>
        <w:rPr>
          <w:b/>
          <w:sz w:val="24"/>
          <w:szCs w:val="24"/>
        </w:rPr>
      </w:pPr>
      <w:r w:rsidRPr="00EB0A10">
        <w:rPr>
          <w:b/>
          <w:sz w:val="24"/>
          <w:szCs w:val="24"/>
        </w:rPr>
        <w:t xml:space="preserve">Първи краен срок за подаване на проектните предложения </w:t>
      </w:r>
      <w:r w:rsidR="00490E3C" w:rsidRPr="00490E3C">
        <w:rPr>
          <w:b/>
          <w:sz w:val="24"/>
          <w:szCs w:val="24"/>
        </w:rPr>
        <w:t>15</w:t>
      </w:r>
      <w:r w:rsidRPr="00EB0A10">
        <w:rPr>
          <w:b/>
          <w:sz w:val="24"/>
          <w:szCs w:val="24"/>
        </w:rPr>
        <w:t>.</w:t>
      </w:r>
      <w:r w:rsidR="00490E3C" w:rsidRPr="00490E3C">
        <w:rPr>
          <w:b/>
          <w:sz w:val="24"/>
          <w:szCs w:val="24"/>
        </w:rPr>
        <w:t>0</w:t>
      </w:r>
      <w:r w:rsidRPr="00EB0A10">
        <w:rPr>
          <w:b/>
          <w:sz w:val="24"/>
          <w:szCs w:val="24"/>
        </w:rPr>
        <w:t>1.202</w:t>
      </w:r>
      <w:r w:rsidR="00490E3C" w:rsidRPr="00490E3C">
        <w:rPr>
          <w:b/>
          <w:sz w:val="24"/>
          <w:szCs w:val="24"/>
        </w:rPr>
        <w:t>1</w:t>
      </w:r>
      <w:r w:rsidRPr="00EB0A10">
        <w:rPr>
          <w:b/>
          <w:sz w:val="24"/>
          <w:szCs w:val="24"/>
        </w:rPr>
        <w:t xml:space="preserve"> г., 17.00 часа;</w:t>
      </w:r>
    </w:p>
    <w:p w14:paraId="3429C39A" w14:textId="18070FF6" w:rsidR="00EB0A10" w:rsidRPr="00EB0A10" w:rsidRDefault="00EB0A10" w:rsidP="00EB0A10">
      <w:pPr>
        <w:spacing w:after="120"/>
        <w:ind w:left="720"/>
        <w:rPr>
          <w:b/>
          <w:sz w:val="24"/>
          <w:szCs w:val="24"/>
        </w:rPr>
      </w:pPr>
      <w:r w:rsidRPr="00EB0A10">
        <w:rPr>
          <w:b/>
          <w:sz w:val="24"/>
          <w:szCs w:val="24"/>
        </w:rPr>
        <w:lastRenderedPageBreak/>
        <w:t>Втори краен срок за подав</w:t>
      </w:r>
      <w:r w:rsidR="00B06297">
        <w:rPr>
          <w:b/>
          <w:sz w:val="24"/>
          <w:szCs w:val="24"/>
        </w:rPr>
        <w:t>ане на проектните предложения 0</w:t>
      </w:r>
      <w:r w:rsidR="00AE37C1">
        <w:rPr>
          <w:b/>
          <w:sz w:val="24"/>
          <w:szCs w:val="24"/>
        </w:rPr>
        <w:t>1</w:t>
      </w:r>
      <w:r w:rsidRPr="00EB0A10">
        <w:rPr>
          <w:b/>
          <w:sz w:val="24"/>
          <w:szCs w:val="24"/>
        </w:rPr>
        <w:t>.0</w:t>
      </w:r>
      <w:r w:rsidR="00B06297">
        <w:rPr>
          <w:b/>
          <w:sz w:val="24"/>
          <w:szCs w:val="24"/>
        </w:rPr>
        <w:t>4</w:t>
      </w:r>
      <w:r w:rsidRPr="00EB0A10">
        <w:rPr>
          <w:b/>
          <w:sz w:val="24"/>
          <w:szCs w:val="24"/>
        </w:rPr>
        <w:t>.202</w:t>
      </w:r>
      <w:r w:rsidR="00BE77D8">
        <w:rPr>
          <w:b/>
          <w:sz w:val="24"/>
          <w:szCs w:val="24"/>
        </w:rPr>
        <w:t>1</w:t>
      </w:r>
      <w:r w:rsidRPr="00EB0A10">
        <w:rPr>
          <w:b/>
          <w:sz w:val="24"/>
          <w:szCs w:val="24"/>
        </w:rPr>
        <w:t xml:space="preserve"> г., 17.00 часа.</w:t>
      </w:r>
    </w:p>
    <w:p w14:paraId="07DC9353" w14:textId="77777777" w:rsidR="00EB0A10" w:rsidRPr="00EB0A10" w:rsidRDefault="00EB0A10" w:rsidP="00EB0A10">
      <w:pPr>
        <w:tabs>
          <w:tab w:val="left" w:pos="284"/>
        </w:tabs>
        <w:spacing w:before="120" w:after="120"/>
        <w:jc w:val="both"/>
        <w:rPr>
          <w:sz w:val="24"/>
          <w:szCs w:val="24"/>
        </w:rPr>
      </w:pPr>
      <w:r w:rsidRPr="00EB0A10">
        <w:rPr>
          <w:sz w:val="24"/>
          <w:szCs w:val="24"/>
        </w:rPr>
        <w:t>В рамките на определените срокове за прием на проектни предложения, кандидатите могат да подават своите проектни предложения само по електронен път, чрез ИСУН 2020.</w:t>
      </w:r>
    </w:p>
    <w:p w14:paraId="6065B1B4" w14:textId="77777777" w:rsidR="00EB0A10" w:rsidRPr="00EB0A10" w:rsidRDefault="00EB0A10" w:rsidP="00EB0A10">
      <w:pPr>
        <w:tabs>
          <w:tab w:val="left" w:pos="284"/>
        </w:tabs>
        <w:spacing w:before="120" w:after="120"/>
        <w:jc w:val="both"/>
        <w:rPr>
          <w:sz w:val="24"/>
          <w:szCs w:val="24"/>
        </w:rPr>
      </w:pPr>
      <w:r w:rsidRPr="00EB0A10">
        <w:rPr>
          <w:sz w:val="24"/>
          <w:szCs w:val="24"/>
        </w:rPr>
        <w:t>Всяко проектно предложение, което е подадено след крайния срок, ще бъде отхвърлено и няма да бъде разглеждано по настоящата покана.</w:t>
      </w:r>
    </w:p>
    <w:p w14:paraId="0CAEC7D3" w14:textId="77777777" w:rsidR="00EB0A10" w:rsidRDefault="00EB0A10" w:rsidP="00947F3C">
      <w:pPr>
        <w:pStyle w:val="2"/>
        <w:spacing w:before="90"/>
        <w:ind w:left="0"/>
        <w:jc w:val="both"/>
        <w:rPr>
          <w:b w:val="0"/>
          <w:bCs w:val="0"/>
        </w:rPr>
      </w:pPr>
    </w:p>
    <w:p w14:paraId="2834ACF9" w14:textId="77777777" w:rsidR="00EB0A10" w:rsidRDefault="00EB0A10" w:rsidP="00947F3C">
      <w:pPr>
        <w:pStyle w:val="2"/>
        <w:spacing w:before="90"/>
        <w:ind w:left="0"/>
        <w:jc w:val="both"/>
        <w:rPr>
          <w:b w:val="0"/>
          <w:bCs w:val="0"/>
        </w:rPr>
      </w:pPr>
    </w:p>
    <w:p w14:paraId="5AEBB06A" w14:textId="77777777" w:rsidR="0026304E" w:rsidRPr="00BA633A" w:rsidRDefault="0026304E" w:rsidP="00C63D8D">
      <w:pPr>
        <w:pStyle w:val="a3"/>
        <w:spacing w:before="90"/>
        <w:ind w:right="216"/>
        <w:jc w:val="both"/>
      </w:pPr>
    </w:p>
    <w:sectPr w:rsidR="0026304E" w:rsidRPr="00BA633A" w:rsidSect="00B52951">
      <w:headerReference w:type="default" r:id="rId11"/>
      <w:footerReference w:type="default" r:id="rId12"/>
      <w:pgSz w:w="12240" w:h="15840"/>
      <w:pgMar w:top="740" w:right="900" w:bottom="28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2F7998" w14:textId="77777777" w:rsidR="009E107C" w:rsidRDefault="009E107C" w:rsidP="00206907">
      <w:r>
        <w:separator/>
      </w:r>
    </w:p>
  </w:endnote>
  <w:endnote w:type="continuationSeparator" w:id="0">
    <w:p w14:paraId="3E75E421" w14:textId="77777777" w:rsidR="009E107C" w:rsidRDefault="009E107C" w:rsidP="00206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1281743"/>
      <w:docPartObj>
        <w:docPartGallery w:val="Page Numbers (Bottom of Page)"/>
        <w:docPartUnique/>
      </w:docPartObj>
    </w:sdtPr>
    <w:sdtEndPr>
      <w:rPr>
        <w:rFonts w:ascii="Times New Roman" w:hAnsi="Times New Roman" w:cs="Times New Roman"/>
        <w:noProof/>
      </w:rPr>
    </w:sdtEndPr>
    <w:sdtContent>
      <w:p w14:paraId="0248DE43" w14:textId="1DFC7A34" w:rsidR="00D27637" w:rsidRPr="0071324D" w:rsidRDefault="00D27637" w:rsidP="0071324D">
        <w:pPr>
          <w:pStyle w:val="ae"/>
          <w:jc w:val="right"/>
          <w:rPr>
            <w:rFonts w:ascii="Times New Roman" w:hAnsi="Times New Roman" w:cs="Times New Roman"/>
          </w:rPr>
        </w:pPr>
        <w:r w:rsidRPr="0071324D">
          <w:rPr>
            <w:rFonts w:ascii="Times New Roman" w:hAnsi="Times New Roman" w:cs="Times New Roman"/>
          </w:rPr>
          <w:fldChar w:fldCharType="begin"/>
        </w:r>
        <w:r w:rsidRPr="0071324D">
          <w:rPr>
            <w:rFonts w:ascii="Times New Roman" w:hAnsi="Times New Roman" w:cs="Times New Roman"/>
          </w:rPr>
          <w:instrText xml:space="preserve"> PAGE   \* MERGEFORMAT </w:instrText>
        </w:r>
        <w:r w:rsidRPr="0071324D">
          <w:rPr>
            <w:rFonts w:ascii="Times New Roman" w:hAnsi="Times New Roman" w:cs="Times New Roman"/>
          </w:rPr>
          <w:fldChar w:fldCharType="separate"/>
        </w:r>
        <w:r w:rsidR="00827717">
          <w:rPr>
            <w:rFonts w:ascii="Times New Roman" w:hAnsi="Times New Roman" w:cs="Times New Roman"/>
            <w:noProof/>
          </w:rPr>
          <w:t>1</w:t>
        </w:r>
        <w:r w:rsidRPr="0071324D">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BD6AA6" w14:textId="77777777" w:rsidR="009E107C" w:rsidRDefault="009E107C" w:rsidP="00206907">
      <w:r>
        <w:separator/>
      </w:r>
    </w:p>
  </w:footnote>
  <w:footnote w:type="continuationSeparator" w:id="0">
    <w:p w14:paraId="0B3821D1" w14:textId="77777777" w:rsidR="009E107C" w:rsidRDefault="009E107C" w:rsidP="00206907">
      <w:r>
        <w:continuationSeparator/>
      </w:r>
    </w:p>
  </w:footnote>
  <w:footnote w:id="1">
    <w:p w14:paraId="70FFC065" w14:textId="77777777" w:rsidR="00206907" w:rsidRPr="00B52951" w:rsidRDefault="00206907" w:rsidP="00B52951">
      <w:pPr>
        <w:pStyle w:val="aa"/>
        <w:rPr>
          <w:rFonts w:ascii="Times New Roman" w:hAnsi="Times New Roman" w:cs="Times New Roman"/>
          <w:sz w:val="18"/>
          <w:szCs w:val="18"/>
        </w:rPr>
      </w:pPr>
      <w:r w:rsidRPr="00B52951">
        <w:rPr>
          <w:rStyle w:val="ac"/>
          <w:rFonts w:ascii="Times New Roman" w:hAnsi="Times New Roman" w:cs="Times New Roman"/>
          <w:sz w:val="18"/>
          <w:szCs w:val="18"/>
        </w:rPr>
        <w:footnoteRef/>
      </w:r>
      <w:r w:rsidRPr="00B52951">
        <w:rPr>
          <w:rFonts w:ascii="Times New Roman" w:hAnsi="Times New Roman" w:cs="Times New Roman"/>
          <w:sz w:val="18"/>
          <w:szCs w:val="18"/>
        </w:rPr>
        <w:t xml:space="preserve"> По смисъла на чл. 2, </w:t>
      </w:r>
      <w:proofErr w:type="spellStart"/>
      <w:r w:rsidRPr="00B52951">
        <w:rPr>
          <w:rFonts w:ascii="Times New Roman" w:hAnsi="Times New Roman" w:cs="Times New Roman"/>
          <w:sz w:val="18"/>
          <w:szCs w:val="18"/>
        </w:rPr>
        <w:t>пар</w:t>
      </w:r>
      <w:proofErr w:type="spellEnd"/>
      <w:r w:rsidRPr="00B52951">
        <w:rPr>
          <w:rFonts w:ascii="Times New Roman" w:hAnsi="Times New Roman" w:cs="Times New Roman"/>
          <w:sz w:val="18"/>
          <w:szCs w:val="18"/>
        </w:rPr>
        <w:t>. 2 от Регламент (ЕС) № 1407/2013 на Комисията.</w:t>
      </w:r>
    </w:p>
  </w:footnote>
  <w:footnote w:id="2">
    <w:p w14:paraId="0CC1EC93" w14:textId="77777777" w:rsidR="00B52951" w:rsidRPr="00B52951" w:rsidRDefault="00B52951" w:rsidP="00B52951">
      <w:pPr>
        <w:ind w:right="-380"/>
        <w:contextualSpacing/>
        <w:rPr>
          <w:sz w:val="18"/>
          <w:szCs w:val="18"/>
        </w:rPr>
      </w:pPr>
      <w:r w:rsidRPr="00B52951">
        <w:rPr>
          <w:rStyle w:val="ad"/>
          <w:sz w:val="18"/>
          <w:szCs w:val="18"/>
        </w:rPr>
        <w:footnoteRef/>
      </w:r>
      <w:r w:rsidRPr="00B52951">
        <w:rPr>
          <w:sz w:val="18"/>
          <w:szCs w:val="18"/>
        </w:rPr>
        <w:t xml:space="preserve"> Съгласно чл.2, пар.2 на Регламент (ЕС) №1407/2013 едно и също предприятие“ означава всички предприятия, които поддържат помежду си поне един вид от следните взаимоотношения:</w:t>
      </w:r>
    </w:p>
    <w:p w14:paraId="069D7B27" w14:textId="67041F55" w:rsidR="00B52951" w:rsidRPr="00B52951" w:rsidRDefault="00B52951" w:rsidP="00B52951">
      <w:pPr>
        <w:pStyle w:val="aa"/>
        <w:spacing w:after="120"/>
        <w:ind w:right="-380"/>
        <w:contextualSpacing/>
        <w:jc w:val="both"/>
        <w:rPr>
          <w:rFonts w:ascii="Times New Roman" w:hAnsi="Times New Roman" w:cs="Times New Roman"/>
          <w:sz w:val="18"/>
          <w:szCs w:val="18"/>
        </w:rPr>
      </w:pPr>
      <w:r w:rsidRPr="00B52951">
        <w:rPr>
          <w:rFonts w:ascii="Times New Roman" w:hAnsi="Times New Roman" w:cs="Times New Roman"/>
          <w:sz w:val="18"/>
          <w:szCs w:val="18"/>
        </w:rPr>
        <w:t>а) дадено предприятие притежава мнозинството от гласовете на акционерите или съдружниците в друго предприятие;</w:t>
      </w:r>
    </w:p>
    <w:p w14:paraId="628A4009" w14:textId="2432E08A" w:rsidR="00B52951" w:rsidRPr="00B52951" w:rsidRDefault="00B52951" w:rsidP="00B52951">
      <w:pPr>
        <w:pStyle w:val="aa"/>
        <w:spacing w:after="120"/>
        <w:ind w:right="-380"/>
        <w:contextualSpacing/>
        <w:jc w:val="both"/>
        <w:rPr>
          <w:rFonts w:ascii="Times New Roman" w:hAnsi="Times New Roman" w:cs="Times New Roman"/>
          <w:sz w:val="18"/>
          <w:szCs w:val="18"/>
        </w:rPr>
      </w:pPr>
      <w:r w:rsidRPr="00B52951">
        <w:rPr>
          <w:rFonts w:ascii="Times New Roman" w:hAnsi="Times New Roman" w:cs="Times New Roman"/>
          <w:sz w:val="18"/>
          <w:szCs w:val="18"/>
        </w:rPr>
        <w:t>б) дадено предприятие има право да назначава или отстранява мнозинството от членовете на административния, управителния или надзорния орган на друго предприятие;</w:t>
      </w:r>
    </w:p>
    <w:p w14:paraId="6CC7944D" w14:textId="4EDCCDBF" w:rsidR="00B52951" w:rsidRPr="00B52951" w:rsidRDefault="00B52951" w:rsidP="00B52951">
      <w:pPr>
        <w:pStyle w:val="aa"/>
        <w:spacing w:after="120"/>
        <w:ind w:right="-380"/>
        <w:contextualSpacing/>
        <w:jc w:val="both"/>
        <w:rPr>
          <w:rFonts w:ascii="Times New Roman" w:hAnsi="Times New Roman" w:cs="Times New Roman"/>
          <w:sz w:val="18"/>
          <w:szCs w:val="18"/>
        </w:rPr>
      </w:pPr>
      <w:r w:rsidRPr="00B52951">
        <w:rPr>
          <w:rFonts w:ascii="Times New Roman" w:hAnsi="Times New Roman" w:cs="Times New Roman"/>
          <w:sz w:val="18"/>
          <w:szCs w:val="18"/>
        </w:rPr>
        <w:t>в) дадено предприятие има право да упражнява доминиращо влияние спрямо друго предприятие по силата на договор, сключен с това предприятие, или на разпоредба в неговия устав или учредителен акт;</w:t>
      </w:r>
    </w:p>
    <w:p w14:paraId="3F91318D" w14:textId="07CDFA66" w:rsidR="00B52951" w:rsidRPr="00B52951" w:rsidRDefault="00B52951" w:rsidP="00B52951">
      <w:pPr>
        <w:pStyle w:val="aa"/>
        <w:spacing w:after="120"/>
        <w:ind w:right="-380"/>
        <w:contextualSpacing/>
        <w:jc w:val="both"/>
        <w:rPr>
          <w:rFonts w:ascii="Times New Roman" w:hAnsi="Times New Roman" w:cs="Times New Roman"/>
          <w:sz w:val="18"/>
          <w:szCs w:val="18"/>
        </w:rPr>
      </w:pPr>
      <w:r w:rsidRPr="00B52951">
        <w:rPr>
          <w:rFonts w:ascii="Times New Roman" w:hAnsi="Times New Roman" w:cs="Times New Roman"/>
          <w:sz w:val="18"/>
          <w:szCs w:val="18"/>
        </w:rPr>
        <w:t>г) дадено предприятие, което е акционер или съдружник в друго предприятие, контролира самостоятелно, по силата на споразумение с останалите акционери или съдружници в това предприятие, мнозинството от гласовете на акционерите или съдружниците в това предприятие.</w:t>
      </w:r>
    </w:p>
    <w:p w14:paraId="4026D77F" w14:textId="040BBEA6" w:rsidR="00B52951" w:rsidRPr="00B52951" w:rsidRDefault="00B52951" w:rsidP="00B52951">
      <w:pPr>
        <w:pStyle w:val="aa"/>
        <w:spacing w:after="120"/>
        <w:ind w:right="-380"/>
        <w:contextualSpacing/>
        <w:jc w:val="both"/>
        <w:rPr>
          <w:rFonts w:ascii="Times New Roman" w:hAnsi="Times New Roman" w:cs="Times New Roman"/>
          <w:sz w:val="18"/>
          <w:szCs w:val="18"/>
        </w:rPr>
      </w:pPr>
      <w:r w:rsidRPr="00B52951">
        <w:rPr>
          <w:rFonts w:ascii="Times New Roman" w:hAnsi="Times New Roman" w:cs="Times New Roman"/>
          <w:sz w:val="18"/>
          <w:szCs w:val="18"/>
        </w:rPr>
        <w:t xml:space="preserve">Предприятия, поддържащи едно от взаимоотношенията, посочени в алинея първа, букви а) — г), посредством едно или няколко други предприятия, също се разглеждат като едно и също предприятие. </w:t>
      </w:r>
    </w:p>
  </w:footnote>
  <w:footnote w:id="3">
    <w:p w14:paraId="2D2604D8" w14:textId="77777777" w:rsidR="00B52951" w:rsidRPr="00B52951" w:rsidRDefault="00B52951" w:rsidP="00B52951">
      <w:pPr>
        <w:pStyle w:val="aa"/>
        <w:jc w:val="both"/>
        <w:rPr>
          <w:rFonts w:ascii="Times New Roman" w:hAnsi="Times New Roman" w:cs="Times New Roman"/>
          <w:sz w:val="18"/>
          <w:szCs w:val="18"/>
        </w:rPr>
      </w:pPr>
      <w:r w:rsidRPr="00B52951">
        <w:rPr>
          <w:rStyle w:val="ac"/>
          <w:rFonts w:ascii="Times New Roman" w:hAnsi="Times New Roman" w:cs="Times New Roman"/>
          <w:sz w:val="18"/>
          <w:szCs w:val="18"/>
        </w:rPr>
        <w:footnoteRef/>
      </w:r>
      <w:r w:rsidRPr="00B52951">
        <w:rPr>
          <w:rFonts w:ascii="Times New Roman" w:hAnsi="Times New Roman" w:cs="Times New Roman"/>
          <w:sz w:val="18"/>
          <w:szCs w:val="18"/>
        </w:rPr>
        <w:t xml:space="preserve"> Съгласно чл.2, пар.2 на Регламент (ЕС) №1407/2013 едно и също предприятие“ означава всички предприятия, които поддържат помежду си поне един вид от следните взаимоотношения: </w:t>
      </w:r>
    </w:p>
    <w:p w14:paraId="2694A6EA" w14:textId="77777777" w:rsidR="00B52951" w:rsidRPr="00B52951" w:rsidRDefault="00B52951" w:rsidP="00B52951">
      <w:pPr>
        <w:pStyle w:val="aa"/>
        <w:jc w:val="both"/>
        <w:rPr>
          <w:rFonts w:ascii="Times New Roman" w:hAnsi="Times New Roman" w:cs="Times New Roman"/>
          <w:sz w:val="18"/>
          <w:szCs w:val="18"/>
        </w:rPr>
      </w:pPr>
      <w:r w:rsidRPr="00B52951">
        <w:rPr>
          <w:rFonts w:ascii="Times New Roman" w:hAnsi="Times New Roman" w:cs="Times New Roman"/>
          <w:sz w:val="18"/>
          <w:szCs w:val="18"/>
        </w:rPr>
        <w:t xml:space="preserve">а) дадено предприятие притежава мнозинството от гласовете на акционерите или съдружниците в друго предприятие; </w:t>
      </w:r>
    </w:p>
    <w:p w14:paraId="2FD42DAF" w14:textId="77777777" w:rsidR="00B52951" w:rsidRPr="00B52951" w:rsidRDefault="00B52951" w:rsidP="00B52951">
      <w:pPr>
        <w:pStyle w:val="aa"/>
        <w:jc w:val="both"/>
        <w:rPr>
          <w:rFonts w:ascii="Times New Roman" w:hAnsi="Times New Roman" w:cs="Times New Roman"/>
          <w:sz w:val="18"/>
          <w:szCs w:val="18"/>
        </w:rPr>
      </w:pPr>
      <w:r w:rsidRPr="00B52951">
        <w:rPr>
          <w:rFonts w:ascii="Times New Roman" w:hAnsi="Times New Roman" w:cs="Times New Roman"/>
          <w:sz w:val="18"/>
          <w:szCs w:val="18"/>
        </w:rPr>
        <w:t xml:space="preserve">б) дадено предприятие има право да назначава или отстранява мнозинството от членовете на административния, управителния или надзорния орган на друго предприятие; </w:t>
      </w:r>
    </w:p>
    <w:p w14:paraId="79E961C5" w14:textId="77777777" w:rsidR="00B52951" w:rsidRPr="00B52951" w:rsidRDefault="00B52951" w:rsidP="00B52951">
      <w:pPr>
        <w:pStyle w:val="aa"/>
        <w:jc w:val="both"/>
        <w:rPr>
          <w:rFonts w:ascii="Times New Roman" w:hAnsi="Times New Roman" w:cs="Times New Roman"/>
          <w:sz w:val="18"/>
          <w:szCs w:val="18"/>
        </w:rPr>
      </w:pPr>
      <w:r w:rsidRPr="00B52951">
        <w:rPr>
          <w:rFonts w:ascii="Times New Roman" w:hAnsi="Times New Roman" w:cs="Times New Roman"/>
          <w:sz w:val="18"/>
          <w:szCs w:val="18"/>
        </w:rPr>
        <w:t xml:space="preserve">в) дадено предприятие има право да упражнява доминиращо влияние спрямо друго предприятие по силата на договор, сключен с това предприятие, или на разпоредба в неговия устав или учредителен акт; </w:t>
      </w:r>
    </w:p>
    <w:p w14:paraId="0958C28C" w14:textId="77777777" w:rsidR="00B52951" w:rsidRPr="00B52951" w:rsidRDefault="00B52951" w:rsidP="00B52951">
      <w:pPr>
        <w:pStyle w:val="aa"/>
        <w:jc w:val="both"/>
        <w:rPr>
          <w:rFonts w:ascii="Times New Roman" w:hAnsi="Times New Roman" w:cs="Times New Roman"/>
          <w:sz w:val="18"/>
          <w:szCs w:val="18"/>
        </w:rPr>
      </w:pPr>
      <w:r w:rsidRPr="00B52951">
        <w:rPr>
          <w:rFonts w:ascii="Times New Roman" w:hAnsi="Times New Roman" w:cs="Times New Roman"/>
          <w:sz w:val="18"/>
          <w:szCs w:val="18"/>
        </w:rPr>
        <w:t xml:space="preserve">г) дадено предприятие, което е акционер или съдружник в друго предприятие, контролира самостоятелно, по силата на споразумение с останалите акционери или съдружници в това предприятие, мнозинството от гласовете на акционерите или съдружниците в това предприятие. </w:t>
      </w:r>
    </w:p>
    <w:p w14:paraId="2D2C31A1" w14:textId="77777777" w:rsidR="00B52951" w:rsidRPr="00B52951" w:rsidRDefault="00B52951" w:rsidP="00B52951">
      <w:pPr>
        <w:pStyle w:val="aa"/>
        <w:jc w:val="both"/>
        <w:rPr>
          <w:rFonts w:ascii="Times New Roman" w:hAnsi="Times New Roman" w:cs="Times New Roman"/>
          <w:sz w:val="18"/>
          <w:szCs w:val="18"/>
        </w:rPr>
      </w:pPr>
      <w:r w:rsidRPr="00B52951">
        <w:rPr>
          <w:rFonts w:ascii="Times New Roman" w:hAnsi="Times New Roman" w:cs="Times New Roman"/>
          <w:sz w:val="18"/>
          <w:szCs w:val="18"/>
        </w:rPr>
        <w:t xml:space="preserve">Предприятия, поддържащи едно от взаимоотношенията, посочени в алинея първа, букви а) — г), посредством едно или няколко други предприятия, също се разглеждат като едно и също предприятие.  </w:t>
      </w:r>
    </w:p>
  </w:footnote>
  <w:footnote w:id="4">
    <w:p w14:paraId="1378ACE1" w14:textId="77777777" w:rsidR="00B52951" w:rsidRPr="00B52951" w:rsidRDefault="00B52951" w:rsidP="00B52951">
      <w:pPr>
        <w:pStyle w:val="aa"/>
        <w:jc w:val="both"/>
        <w:rPr>
          <w:rFonts w:ascii="Times New Roman" w:hAnsi="Times New Roman" w:cs="Times New Roman"/>
          <w:sz w:val="18"/>
          <w:szCs w:val="18"/>
        </w:rPr>
      </w:pPr>
      <w:r w:rsidRPr="00B52951">
        <w:rPr>
          <w:rStyle w:val="ac"/>
          <w:rFonts w:ascii="Times New Roman" w:hAnsi="Times New Roman" w:cs="Times New Roman"/>
          <w:sz w:val="18"/>
          <w:szCs w:val="18"/>
        </w:rPr>
        <w:footnoteRef/>
      </w:r>
      <w:r w:rsidRPr="00B52951">
        <w:rPr>
          <w:rFonts w:ascii="Times New Roman" w:hAnsi="Times New Roman" w:cs="Times New Roman"/>
          <w:sz w:val="18"/>
          <w:szCs w:val="18"/>
        </w:rPr>
        <w:t xml:space="preserve"> Помощта се счита за получена от датата на сключване на договора за предоставянето ѝ или от датата на издаване на друг документ, който дава на бенефициента юридическото право да я получи.  </w:t>
      </w:r>
    </w:p>
  </w:footnote>
  <w:footnote w:id="5">
    <w:p w14:paraId="25F2C6C7" w14:textId="77777777" w:rsidR="00DE54BD" w:rsidRPr="00460924" w:rsidRDefault="00DE54BD" w:rsidP="00DE54BD">
      <w:pPr>
        <w:pStyle w:val="aa"/>
        <w:spacing w:after="120"/>
        <w:jc w:val="both"/>
        <w:rPr>
          <w:rFonts w:ascii="Times New Roman" w:hAnsi="Times New Roman" w:cs="Times New Roman"/>
        </w:rPr>
      </w:pPr>
      <w:r w:rsidRPr="00E24954">
        <w:rPr>
          <w:rStyle w:val="ac"/>
        </w:rPr>
        <w:footnoteRef/>
      </w:r>
      <w:r w:rsidRPr="00460924">
        <w:rPr>
          <w:rFonts w:ascii="Times New Roman" w:hAnsi="Times New Roman" w:cs="Times New Roman"/>
        </w:rPr>
        <w:t xml:space="preserve"> Присъждане на </w:t>
      </w:r>
      <w:proofErr w:type="spellStart"/>
      <w:r w:rsidRPr="00460924">
        <w:rPr>
          <w:rFonts w:ascii="Times New Roman" w:hAnsi="Times New Roman" w:cs="Times New Roman"/>
        </w:rPr>
        <w:t>екомаркировката</w:t>
      </w:r>
      <w:proofErr w:type="spellEnd"/>
      <w:r w:rsidRPr="00460924">
        <w:rPr>
          <w:rFonts w:ascii="Times New Roman" w:hAnsi="Times New Roman" w:cs="Times New Roman"/>
        </w:rPr>
        <w:t xml:space="preserve"> на ЕС – съгласно чл. 137, ал. 2 от Закона за опазване на околната среда (ЗООС), </w:t>
      </w:r>
      <w:proofErr w:type="spellStart"/>
      <w:r w:rsidRPr="00460924">
        <w:rPr>
          <w:rFonts w:ascii="Times New Roman" w:hAnsi="Times New Roman" w:cs="Times New Roman"/>
        </w:rPr>
        <w:t>екомаркировката</w:t>
      </w:r>
      <w:proofErr w:type="spellEnd"/>
      <w:r w:rsidRPr="00460924">
        <w:rPr>
          <w:rFonts w:ascii="Times New Roman" w:hAnsi="Times New Roman" w:cs="Times New Roman"/>
        </w:rPr>
        <w:t xml:space="preserve"> на ЕС могат да получат продукти, за които има специфични критерии, приети с решение на Европейската комисия, публикувано в "Официален вестник" на Европейския съюз. При осъществяване на проекти/дейности за присъждане на </w:t>
      </w:r>
      <w:proofErr w:type="spellStart"/>
      <w:r w:rsidRPr="00460924">
        <w:rPr>
          <w:rFonts w:ascii="Times New Roman" w:hAnsi="Times New Roman" w:cs="Times New Roman"/>
        </w:rPr>
        <w:t>екомаркировката</w:t>
      </w:r>
      <w:proofErr w:type="spellEnd"/>
      <w:r w:rsidRPr="00460924">
        <w:rPr>
          <w:rFonts w:ascii="Times New Roman" w:hAnsi="Times New Roman" w:cs="Times New Roman"/>
        </w:rPr>
        <w:t xml:space="preserve"> на ЕС, допустими са услуги, извършени от съответните компетентни органи, съгласно чл. 138 от ЗООС (в съответствие с Регламент (ЕО) № 66/2010 относно </w:t>
      </w:r>
      <w:proofErr w:type="spellStart"/>
      <w:r w:rsidRPr="00460924">
        <w:rPr>
          <w:rFonts w:ascii="Times New Roman" w:hAnsi="Times New Roman" w:cs="Times New Roman"/>
        </w:rPr>
        <w:t>екомаркировката</w:t>
      </w:r>
      <w:proofErr w:type="spellEnd"/>
      <w:r w:rsidRPr="00460924">
        <w:rPr>
          <w:rFonts w:ascii="Times New Roman" w:hAnsi="Times New Roman" w:cs="Times New Roman"/>
        </w:rPr>
        <w:t xml:space="preserve"> на ЕС). Задължителен краен резултат от дейностите за услуги във връзка с присъждане на </w:t>
      </w:r>
      <w:proofErr w:type="spellStart"/>
      <w:r w:rsidRPr="00460924">
        <w:rPr>
          <w:rFonts w:ascii="Times New Roman" w:hAnsi="Times New Roman" w:cs="Times New Roman"/>
        </w:rPr>
        <w:t>екомаркировката</w:t>
      </w:r>
      <w:proofErr w:type="spellEnd"/>
      <w:r w:rsidRPr="00460924">
        <w:rPr>
          <w:rFonts w:ascii="Times New Roman" w:hAnsi="Times New Roman" w:cs="Times New Roman"/>
        </w:rPr>
        <w:t xml:space="preserve"> на ЕС е присъждането на </w:t>
      </w:r>
      <w:proofErr w:type="spellStart"/>
      <w:r w:rsidRPr="00460924">
        <w:rPr>
          <w:rFonts w:ascii="Times New Roman" w:hAnsi="Times New Roman" w:cs="Times New Roman"/>
        </w:rPr>
        <w:t>екомаркировката</w:t>
      </w:r>
      <w:proofErr w:type="spellEnd"/>
      <w:r w:rsidRPr="00460924">
        <w:rPr>
          <w:rFonts w:ascii="Times New Roman" w:hAnsi="Times New Roman" w:cs="Times New Roman"/>
        </w:rPr>
        <w:t xml:space="preserve"> на ЕС. </w:t>
      </w:r>
    </w:p>
  </w:footnote>
  <w:footnote w:id="6">
    <w:p w14:paraId="6DC09901" w14:textId="77777777" w:rsidR="00DE54BD" w:rsidRPr="00734763" w:rsidRDefault="00DE54BD" w:rsidP="00DE54BD">
      <w:pPr>
        <w:pStyle w:val="aa"/>
        <w:spacing w:after="120"/>
        <w:jc w:val="both"/>
        <w:rPr>
          <w:rFonts w:ascii="Times New Roman" w:hAnsi="Times New Roman" w:cs="Times New Roman"/>
        </w:rPr>
      </w:pPr>
      <w:r w:rsidRPr="00734763">
        <w:rPr>
          <w:rStyle w:val="ac"/>
          <w:rFonts w:ascii="Times New Roman" w:hAnsi="Times New Roman" w:cs="Times New Roman"/>
        </w:rPr>
        <w:footnoteRef/>
      </w:r>
      <w:r w:rsidRPr="00734763">
        <w:rPr>
          <w:rFonts w:ascii="Times New Roman" w:hAnsi="Times New Roman" w:cs="Times New Roman"/>
        </w:rPr>
        <w:t xml:space="preserve"> Хармонизиран европейски стандарт е европейски стандарт (EN), разработен по мандат на Европейската комисия и Европейската асоциация за свободна търговия (EFTA), който поддържа съществените изисквания на директивите и регламентите от Нов подход и е обявен в Официалния вестник на Европейския съюз. Прилагането на хармонизираните стандарти е доброволно, но е най-лесният начин за доказване на съответствието на продуктите със съществените изисквания на директивите и регламентите. Постигането на продуктово съответствие с национални/европейски/международни стандарти  задължително се удостоверява с получаването на сертификат, като допустими са услуги извършени от орган по сертификация на продукти,  притежаващ валидна акредитация от национален орган по акредитация </w:t>
      </w:r>
      <w:r w:rsidRPr="00FD0FF5">
        <w:rPr>
          <w:rFonts w:ascii="Times New Roman" w:hAnsi="Times New Roman" w:cs="Times New Roman"/>
          <w:lang w:val="ru-RU"/>
        </w:rPr>
        <w:t xml:space="preserve">- </w:t>
      </w:r>
      <w:r w:rsidRPr="00734763">
        <w:rPr>
          <w:rFonts w:ascii="Times New Roman" w:hAnsi="Times New Roman" w:cs="Times New Roman"/>
        </w:rPr>
        <w:t>българския национален орган по акредитация – Изпълнителна агенция „Българска служба за акредитация”, от национален орган по акредитация на друга държава-членка на ЕС, от национален орган по акредитация – страна по Споразумението за Европейско икономическо пространство и Конфедерация Швейцария или от национален орган по акредитация на държава, кандидат за пълноправно членство в ЕС, които са страна по Споразумението за взаимно признаване на Европейската организация по акредитация – EAMLA в област</w:t>
      </w:r>
      <w:r w:rsidRPr="00003CE8">
        <w:rPr>
          <w:rFonts w:ascii="Verdana" w:hAnsi="Verdana"/>
          <w:sz w:val="16"/>
          <w:szCs w:val="16"/>
        </w:rPr>
        <w:t xml:space="preserve"> </w:t>
      </w:r>
      <w:r w:rsidRPr="00734763">
        <w:rPr>
          <w:rFonts w:ascii="Times New Roman" w:hAnsi="Times New Roman" w:cs="Times New Roman"/>
        </w:rPr>
        <w:t>сертификация на продукти, в съответствие с БДС EN ISO/IEC 17065</w:t>
      </w:r>
      <w:r w:rsidRPr="00FD0FF5">
        <w:rPr>
          <w:rFonts w:ascii="Times New Roman" w:hAnsi="Times New Roman" w:cs="Times New Roman"/>
          <w:lang w:val="ru-RU"/>
        </w:rPr>
        <w:t xml:space="preserve"> </w:t>
      </w:r>
      <w:r w:rsidRPr="00734763">
        <w:rPr>
          <w:rFonts w:ascii="Times New Roman" w:hAnsi="Times New Roman" w:cs="Times New Roman"/>
        </w:rPr>
        <w:t>(или други идентични въвеждания от страни членки на ЕС). Ако в срока на изпълнение на проекта не бъде получен съответният сертификат, извършените разходи за въвеждането, инвестициите и удостоверяването, няма да бъдат признати, като бенефициентът следва да върне предоставените му по настоящата процедура средства със съответната законова лихва.</w:t>
      </w:r>
    </w:p>
  </w:footnote>
  <w:footnote w:id="7">
    <w:p w14:paraId="10BABDF7" w14:textId="77777777" w:rsidR="00DE54BD" w:rsidRPr="00734763" w:rsidRDefault="00DE54BD" w:rsidP="00DE54BD">
      <w:pPr>
        <w:pStyle w:val="aa"/>
        <w:jc w:val="both"/>
        <w:rPr>
          <w:rFonts w:ascii="Times New Roman" w:hAnsi="Times New Roman" w:cs="Times New Roman"/>
        </w:rPr>
      </w:pPr>
      <w:r w:rsidRPr="00734763">
        <w:rPr>
          <w:rStyle w:val="ac"/>
          <w:rFonts w:ascii="Times New Roman" w:hAnsi="Times New Roman" w:cs="Times New Roman"/>
        </w:rPr>
        <w:footnoteRef/>
      </w:r>
      <w:r w:rsidRPr="00734763">
        <w:rPr>
          <w:rFonts w:ascii="Times New Roman" w:hAnsi="Times New Roman" w:cs="Times New Roman"/>
        </w:rPr>
        <w:t xml:space="preserve"> За целите на процедурите по ОПИК и съгласно приложимата нормативна уредба в областта (Регламент № 2023/2006; Регламент № 1223/2009; Регламент ЕС № 852/2004; Директива 2003/94) под „добра производствена практика (ДПП)“ се разбират онези аспекти на гарантиране на качеството в областта на: производството на козметични продукти, лекарства и лекарствени вещества, хранителни продукти, материали и предмети, предназначени за контакт с храни, които осигуряват постоянно производство и контрол на продукти/материалите/предметите, така че те да съответстват на правилата, приложими за тях, и на стандартите за качество, съответстващи на предназначението им, като не представляват риск за здравето на потребителя, или обществеността.</w:t>
      </w:r>
    </w:p>
  </w:footnote>
  <w:footnote w:id="8">
    <w:p w14:paraId="67167748" w14:textId="77777777" w:rsidR="00DE54BD" w:rsidRPr="00734763" w:rsidRDefault="00DE54BD" w:rsidP="00DE54BD">
      <w:pPr>
        <w:pStyle w:val="aa"/>
        <w:jc w:val="both"/>
        <w:rPr>
          <w:rFonts w:ascii="Times New Roman" w:hAnsi="Times New Roman" w:cs="Times New Roman"/>
        </w:rPr>
      </w:pPr>
      <w:r w:rsidRPr="00734763">
        <w:rPr>
          <w:rStyle w:val="ac"/>
          <w:rFonts w:ascii="Times New Roman" w:hAnsi="Times New Roman" w:cs="Times New Roman"/>
        </w:rPr>
        <w:footnoteRef/>
      </w:r>
      <w:r w:rsidRPr="00734763">
        <w:rPr>
          <w:rFonts w:ascii="Times New Roman" w:hAnsi="Times New Roman" w:cs="Times New Roman"/>
        </w:rPr>
        <w:t xml:space="preserve"> За целите на процедурите по ОПИК  е възприето следното определение за </w:t>
      </w:r>
      <w:proofErr w:type="spellStart"/>
      <w:r w:rsidRPr="00734763">
        <w:rPr>
          <w:rFonts w:ascii="Times New Roman" w:hAnsi="Times New Roman" w:cs="Times New Roman"/>
        </w:rPr>
        <w:t>реинженеринг</w:t>
      </w:r>
      <w:proofErr w:type="spellEnd"/>
      <w:r w:rsidRPr="00734763">
        <w:rPr>
          <w:rFonts w:ascii="Times New Roman" w:hAnsi="Times New Roman" w:cs="Times New Roman"/>
        </w:rPr>
        <w:t xml:space="preserve"> на процесите в предприятията: фундаментално преосмисляне и пълно </w:t>
      </w:r>
      <w:proofErr w:type="spellStart"/>
      <w:r w:rsidRPr="00734763">
        <w:rPr>
          <w:rFonts w:ascii="Times New Roman" w:hAnsi="Times New Roman" w:cs="Times New Roman"/>
        </w:rPr>
        <w:t>препроектиране</w:t>
      </w:r>
      <w:proofErr w:type="spellEnd"/>
      <w:r w:rsidRPr="00734763">
        <w:rPr>
          <w:rFonts w:ascii="Times New Roman" w:hAnsi="Times New Roman" w:cs="Times New Roman"/>
        </w:rPr>
        <w:t xml:space="preserve"> на бизнес процесите за достигане на коренни подобрения в основните показатели на предприятието. Примерната последователност на дейностите при </w:t>
      </w:r>
      <w:proofErr w:type="spellStart"/>
      <w:r w:rsidRPr="00734763">
        <w:rPr>
          <w:rFonts w:ascii="Times New Roman" w:hAnsi="Times New Roman" w:cs="Times New Roman"/>
        </w:rPr>
        <w:t>реинженеринг</w:t>
      </w:r>
      <w:proofErr w:type="spellEnd"/>
      <w:r w:rsidRPr="00734763">
        <w:rPr>
          <w:rFonts w:ascii="Times New Roman" w:hAnsi="Times New Roman" w:cs="Times New Roman"/>
        </w:rPr>
        <w:t xml:space="preserve"> на процесите в предприятията включва най-малко: диагностика и измервания на бизнес процесите в предприятието; избор на процесите, които ще бъдат изменени и </w:t>
      </w:r>
      <w:proofErr w:type="spellStart"/>
      <w:r w:rsidRPr="00734763">
        <w:rPr>
          <w:rFonts w:ascii="Times New Roman" w:hAnsi="Times New Roman" w:cs="Times New Roman"/>
        </w:rPr>
        <w:t>препроектирани</w:t>
      </w:r>
      <w:proofErr w:type="spellEnd"/>
      <w:r w:rsidRPr="00734763">
        <w:rPr>
          <w:rFonts w:ascii="Times New Roman" w:hAnsi="Times New Roman" w:cs="Times New Roman"/>
        </w:rPr>
        <w:t xml:space="preserve"> вследствие на </w:t>
      </w:r>
      <w:proofErr w:type="spellStart"/>
      <w:r w:rsidRPr="00734763">
        <w:rPr>
          <w:rFonts w:ascii="Times New Roman" w:hAnsi="Times New Roman" w:cs="Times New Roman"/>
        </w:rPr>
        <w:t>реинжинеринга</w:t>
      </w:r>
      <w:proofErr w:type="spellEnd"/>
      <w:r w:rsidRPr="00734763">
        <w:rPr>
          <w:rFonts w:ascii="Times New Roman" w:hAnsi="Times New Roman" w:cs="Times New Roman"/>
        </w:rPr>
        <w:t xml:space="preserve">; техническо изготвяне на модел на предлаганото решение-визия; персонализиране на модела спрямо спецификите на предприятието, обучение на персонала; въвеждане на </w:t>
      </w:r>
      <w:proofErr w:type="spellStart"/>
      <w:r w:rsidRPr="00734763">
        <w:rPr>
          <w:rFonts w:ascii="Times New Roman" w:hAnsi="Times New Roman" w:cs="Times New Roman"/>
        </w:rPr>
        <w:t>препроектираните</w:t>
      </w:r>
      <w:proofErr w:type="spellEnd"/>
      <w:r w:rsidRPr="00734763">
        <w:rPr>
          <w:rFonts w:ascii="Times New Roman" w:hAnsi="Times New Roman" w:cs="Times New Roman"/>
        </w:rPr>
        <w:t xml:space="preserve"> процеси (предписанията от </w:t>
      </w:r>
      <w:proofErr w:type="spellStart"/>
      <w:r w:rsidRPr="00734763">
        <w:rPr>
          <w:rFonts w:ascii="Times New Roman" w:hAnsi="Times New Roman" w:cs="Times New Roman"/>
        </w:rPr>
        <w:t>реинженеринга</w:t>
      </w:r>
      <w:proofErr w:type="spellEnd"/>
      <w:r w:rsidRPr="00734763">
        <w:rPr>
          <w:rFonts w:ascii="Times New Roman" w:hAnsi="Times New Roman" w:cs="Times New Roman"/>
        </w:rPr>
        <w:t>) в дейността на предприятието.</w:t>
      </w:r>
      <w:r w:rsidRPr="00850ED1">
        <w:rPr>
          <w:rFonts w:ascii="Calibri" w:hAnsi="Calibri" w:cs="Calibri"/>
          <w:color w:val="000000"/>
          <w:sz w:val="23"/>
          <w:szCs w:val="23"/>
        </w:rPr>
        <w:t xml:space="preserve"> </w:t>
      </w:r>
      <w:proofErr w:type="spellStart"/>
      <w:r w:rsidRPr="00850ED1">
        <w:rPr>
          <w:rFonts w:ascii="Times New Roman" w:hAnsi="Times New Roman" w:cs="Times New Roman"/>
        </w:rPr>
        <w:t>Реинженерингът</w:t>
      </w:r>
      <w:proofErr w:type="spellEnd"/>
      <w:r w:rsidRPr="00850ED1">
        <w:rPr>
          <w:rFonts w:ascii="Times New Roman" w:hAnsi="Times New Roman" w:cs="Times New Roman"/>
        </w:rPr>
        <w:t xml:space="preserve"> следва да бъде извършен от външна и несвързана с (съгласно разпоредбите на ЗМСП) предприятието-бенефициент организация, като задължителен</w:t>
      </w:r>
      <w:r>
        <w:rPr>
          <w:rFonts w:ascii="Times New Roman" w:hAnsi="Times New Roman" w:cs="Times New Roman"/>
        </w:rPr>
        <w:t xml:space="preserve"> </w:t>
      </w:r>
      <w:r w:rsidRPr="00850ED1">
        <w:rPr>
          <w:rFonts w:ascii="Times New Roman" w:hAnsi="Times New Roman" w:cs="Times New Roman"/>
        </w:rPr>
        <w:t xml:space="preserve">краен резултат от дейността е получаването на документ (издаден от организацията, извършила </w:t>
      </w:r>
      <w:proofErr w:type="spellStart"/>
      <w:r w:rsidRPr="00850ED1">
        <w:rPr>
          <w:rFonts w:ascii="Times New Roman" w:hAnsi="Times New Roman" w:cs="Times New Roman"/>
        </w:rPr>
        <w:t>реинженеринга</w:t>
      </w:r>
      <w:proofErr w:type="spellEnd"/>
      <w:r w:rsidRPr="00850ED1">
        <w:rPr>
          <w:rFonts w:ascii="Times New Roman" w:hAnsi="Times New Roman" w:cs="Times New Roman"/>
        </w:rPr>
        <w:t xml:space="preserve">) в рамките на срока за изпълнение на проекта, удостоверяващ изпълнението на предписанията от извършения </w:t>
      </w:r>
      <w:proofErr w:type="spellStart"/>
      <w:r w:rsidRPr="00850ED1">
        <w:rPr>
          <w:rFonts w:ascii="Times New Roman" w:hAnsi="Times New Roman" w:cs="Times New Roman"/>
        </w:rPr>
        <w:t>реинженеринг</w:t>
      </w:r>
      <w:proofErr w:type="spellEnd"/>
      <w:r w:rsidRPr="00850ED1">
        <w:rPr>
          <w:rFonts w:ascii="Times New Roman" w:hAnsi="Times New Roman" w:cs="Times New Roman"/>
        </w:rPr>
        <w:t xml:space="preserve"> на процесите.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9"/>
      <w:tblW w:w="96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384"/>
      <w:gridCol w:w="1488"/>
      <w:gridCol w:w="416"/>
      <w:gridCol w:w="1710"/>
      <w:gridCol w:w="416"/>
      <w:gridCol w:w="1002"/>
      <w:gridCol w:w="284"/>
      <w:gridCol w:w="2126"/>
    </w:tblGrid>
    <w:tr w:rsidR="00D27637" w14:paraId="1C619FFD" w14:textId="77777777" w:rsidTr="002A2459">
      <w:trPr>
        <w:jc w:val="center"/>
      </w:trPr>
      <w:tc>
        <w:tcPr>
          <w:tcW w:w="1809" w:type="dxa"/>
        </w:tcPr>
        <w:p w14:paraId="60C81F65" w14:textId="77777777" w:rsidR="00D27637" w:rsidRDefault="00D27637" w:rsidP="002A2459">
          <w:pPr>
            <w:pStyle w:val="a7"/>
          </w:pPr>
          <w:r>
            <w:rPr>
              <w:noProof/>
              <w:lang w:val="en-US"/>
            </w:rPr>
            <w:drawing>
              <wp:anchor distT="0" distB="0" distL="114300" distR="114300" simplePos="0" relativeHeight="251659264" behindDoc="0" locked="0" layoutInCell="1" allowOverlap="1" wp14:anchorId="0AE6E29F" wp14:editId="5690AAC1">
                <wp:simplePos x="0" y="0"/>
                <wp:positionH relativeFrom="column">
                  <wp:posOffset>7620</wp:posOffset>
                </wp:positionH>
                <wp:positionV relativeFrom="paragraph">
                  <wp:posOffset>-635</wp:posOffset>
                </wp:positionV>
                <wp:extent cx="954405" cy="68961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4405" cy="689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tc>
      <w:tc>
        <w:tcPr>
          <w:tcW w:w="384" w:type="dxa"/>
        </w:tcPr>
        <w:p w14:paraId="78695C4D" w14:textId="77777777" w:rsidR="00D27637" w:rsidRDefault="00D27637" w:rsidP="002A2459">
          <w:pPr>
            <w:pStyle w:val="a7"/>
          </w:pPr>
        </w:p>
      </w:tc>
      <w:tc>
        <w:tcPr>
          <w:tcW w:w="1488" w:type="dxa"/>
        </w:tcPr>
        <w:p w14:paraId="7D06E46A" w14:textId="77777777" w:rsidR="00D27637" w:rsidRDefault="00D27637" w:rsidP="002A2459">
          <w:pPr>
            <w:pStyle w:val="a7"/>
            <w:jc w:val="center"/>
          </w:pPr>
        </w:p>
        <w:p w14:paraId="0C75ACD3" w14:textId="77777777" w:rsidR="00D27637" w:rsidRDefault="00D27637" w:rsidP="002A2459">
          <w:pPr>
            <w:pStyle w:val="a7"/>
            <w:jc w:val="center"/>
          </w:pPr>
        </w:p>
        <w:p w14:paraId="1973C6F0" w14:textId="77777777" w:rsidR="00D27637" w:rsidRDefault="00D27637" w:rsidP="002A2459">
          <w:pPr>
            <w:pStyle w:val="a7"/>
            <w:tabs>
              <w:tab w:val="left" w:pos="225"/>
            </w:tabs>
          </w:pPr>
          <w:r>
            <w:tab/>
          </w:r>
        </w:p>
        <w:p w14:paraId="09A3A614" w14:textId="77777777" w:rsidR="00D27637" w:rsidRDefault="00D27637" w:rsidP="002A2459">
          <w:pPr>
            <w:pStyle w:val="a7"/>
            <w:jc w:val="center"/>
          </w:pPr>
        </w:p>
        <w:p w14:paraId="66270C47" w14:textId="77777777" w:rsidR="00D27637" w:rsidRDefault="00D27637" w:rsidP="002A2459">
          <w:pPr>
            <w:pStyle w:val="a7"/>
            <w:jc w:val="center"/>
          </w:pPr>
        </w:p>
      </w:tc>
      <w:tc>
        <w:tcPr>
          <w:tcW w:w="416" w:type="dxa"/>
        </w:tcPr>
        <w:p w14:paraId="030EF6C8" w14:textId="77777777" w:rsidR="00D27637" w:rsidRDefault="00D27637" w:rsidP="002A2459">
          <w:pPr>
            <w:pStyle w:val="a7"/>
          </w:pPr>
        </w:p>
      </w:tc>
      <w:tc>
        <w:tcPr>
          <w:tcW w:w="1710" w:type="dxa"/>
        </w:tcPr>
        <w:p w14:paraId="701E1B37" w14:textId="77777777" w:rsidR="00D27637" w:rsidRDefault="00D27637" w:rsidP="002A2459">
          <w:pPr>
            <w:pStyle w:val="a7"/>
          </w:pPr>
          <w:r>
            <w:rPr>
              <w:noProof/>
              <w:lang w:val="en-US"/>
            </w:rPr>
            <w:drawing>
              <wp:anchor distT="0" distB="0" distL="114300" distR="114300" simplePos="0" relativeHeight="251660288" behindDoc="0" locked="0" layoutInCell="1" allowOverlap="1" wp14:anchorId="06F38269" wp14:editId="46DEB6E2">
                <wp:simplePos x="0" y="0"/>
                <wp:positionH relativeFrom="column">
                  <wp:posOffset>-2540</wp:posOffset>
                </wp:positionH>
                <wp:positionV relativeFrom="paragraph">
                  <wp:posOffset>7620</wp:posOffset>
                </wp:positionV>
                <wp:extent cx="954000" cy="691200"/>
                <wp:effectExtent l="0" t="0" r="0" b="0"/>
                <wp:wrapNone/>
                <wp:docPr id="11" name="Picture 3" descr="mig-b"/>
                <wp:cNvGraphicFramePr/>
                <a:graphic xmlns:a="http://schemas.openxmlformats.org/drawingml/2006/main">
                  <a:graphicData uri="http://schemas.openxmlformats.org/drawingml/2006/picture">
                    <pic:pic xmlns:pic="http://schemas.openxmlformats.org/drawingml/2006/picture">
                      <pic:nvPicPr>
                        <pic:cNvPr id="65" name="Picture 3" descr="mig-b"/>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54000" cy="691200"/>
                        </a:xfrm>
                        <a:prstGeom prst="rect">
                          <a:avLst/>
                        </a:prstGeom>
                        <a:noFill/>
                        <a:ln w="9525" algn="in">
                          <a:noFill/>
                          <a:miter lim="800000"/>
                          <a:headEnd/>
                          <a:tailEnd/>
                        </a:ln>
                        <a:effectLst/>
                      </pic:spPr>
                    </pic:pic>
                  </a:graphicData>
                </a:graphic>
                <wp14:sizeRelH relativeFrom="margin">
                  <wp14:pctWidth>0</wp14:pctWidth>
                </wp14:sizeRelH>
                <wp14:sizeRelV relativeFrom="margin">
                  <wp14:pctHeight>0</wp14:pctHeight>
                </wp14:sizeRelV>
              </wp:anchor>
            </w:drawing>
          </w:r>
        </w:p>
      </w:tc>
      <w:tc>
        <w:tcPr>
          <w:tcW w:w="416" w:type="dxa"/>
        </w:tcPr>
        <w:p w14:paraId="4E06EE8A" w14:textId="77777777" w:rsidR="00D27637" w:rsidRDefault="00D27637" w:rsidP="002A2459">
          <w:pPr>
            <w:pStyle w:val="a7"/>
          </w:pPr>
        </w:p>
      </w:tc>
      <w:tc>
        <w:tcPr>
          <w:tcW w:w="1002" w:type="dxa"/>
        </w:tcPr>
        <w:p w14:paraId="7AFA01B7" w14:textId="77777777" w:rsidR="00D27637" w:rsidRDefault="00D27637" w:rsidP="002A2459">
          <w:pPr>
            <w:pStyle w:val="a7"/>
          </w:pPr>
        </w:p>
      </w:tc>
      <w:tc>
        <w:tcPr>
          <w:tcW w:w="284" w:type="dxa"/>
        </w:tcPr>
        <w:p w14:paraId="6420C4A9" w14:textId="77777777" w:rsidR="00D27637" w:rsidRDefault="00D27637" w:rsidP="002A2459">
          <w:pPr>
            <w:pStyle w:val="a7"/>
          </w:pPr>
        </w:p>
      </w:tc>
      <w:tc>
        <w:tcPr>
          <w:tcW w:w="2126" w:type="dxa"/>
        </w:tcPr>
        <w:p w14:paraId="582578E9" w14:textId="77777777" w:rsidR="00D27637" w:rsidRDefault="00D27637" w:rsidP="002A2459">
          <w:pPr>
            <w:pStyle w:val="a7"/>
          </w:pPr>
          <w:r>
            <w:rPr>
              <w:noProof/>
              <w:lang w:val="en-US"/>
            </w:rPr>
            <w:drawing>
              <wp:anchor distT="0" distB="0" distL="0" distR="0" simplePos="0" relativeHeight="251661312" behindDoc="1" locked="0" layoutInCell="1" allowOverlap="1" wp14:anchorId="691AD38A" wp14:editId="4532545C">
                <wp:simplePos x="0" y="0"/>
                <wp:positionH relativeFrom="page">
                  <wp:posOffset>-54610</wp:posOffset>
                </wp:positionH>
                <wp:positionV relativeFrom="page">
                  <wp:posOffset>3175</wp:posOffset>
                </wp:positionV>
                <wp:extent cx="1314450" cy="685800"/>
                <wp:effectExtent l="0" t="0" r="0" b="0"/>
                <wp:wrapNone/>
                <wp:docPr id="12"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3" cstate="print"/>
                        <a:stretch>
                          <a:fillRect/>
                        </a:stretch>
                      </pic:blipFill>
                      <pic:spPr>
                        <a:xfrm>
                          <a:off x="0" y="0"/>
                          <a:ext cx="1339553" cy="698897"/>
                        </a:xfrm>
                        <a:prstGeom prst="rect">
                          <a:avLst/>
                        </a:prstGeom>
                      </pic:spPr>
                    </pic:pic>
                  </a:graphicData>
                </a:graphic>
                <wp14:sizeRelH relativeFrom="margin">
                  <wp14:pctWidth>0</wp14:pctWidth>
                </wp14:sizeRelH>
                <wp14:sizeRelV relativeFrom="margin">
                  <wp14:pctHeight>0</wp14:pctHeight>
                </wp14:sizeRelV>
              </wp:anchor>
            </w:drawing>
          </w:r>
        </w:p>
        <w:p w14:paraId="309C639A" w14:textId="77777777" w:rsidR="00D27637" w:rsidRDefault="00D27637" w:rsidP="002A2459">
          <w:pPr>
            <w:jc w:val="center"/>
          </w:pPr>
        </w:p>
        <w:p w14:paraId="7AA5E66E" w14:textId="77777777" w:rsidR="00D27637" w:rsidRDefault="00D27637" w:rsidP="002A2459"/>
        <w:p w14:paraId="498601D9" w14:textId="77777777" w:rsidR="00D27637" w:rsidRDefault="00D27637" w:rsidP="002A2459"/>
        <w:p w14:paraId="3501AD49" w14:textId="77777777" w:rsidR="00D27637" w:rsidRPr="00220309" w:rsidRDefault="00D27637" w:rsidP="002A2459"/>
      </w:tc>
    </w:tr>
    <w:tr w:rsidR="00D27637" w14:paraId="7F5C1F06" w14:textId="77777777" w:rsidTr="002A2459">
      <w:trPr>
        <w:jc w:val="center"/>
      </w:trPr>
      <w:tc>
        <w:tcPr>
          <w:tcW w:w="9635" w:type="dxa"/>
          <w:gridSpan w:val="9"/>
        </w:tcPr>
        <w:p w14:paraId="684377E9" w14:textId="77777777" w:rsidR="00D27637" w:rsidRPr="00220309" w:rsidRDefault="00D27637" w:rsidP="002A2459">
          <w:pPr>
            <w:spacing w:before="60" w:after="60"/>
            <w:ind w:left="23"/>
            <w:jc w:val="center"/>
            <w:rPr>
              <w:b/>
              <w:caps/>
              <w:sz w:val="24"/>
              <w:szCs w:val="24"/>
            </w:rPr>
          </w:pPr>
          <w:r w:rsidRPr="00220309">
            <w:rPr>
              <w:b/>
              <w:caps/>
              <w:color w:val="17365D"/>
              <w:sz w:val="24"/>
              <w:szCs w:val="24"/>
            </w:rPr>
            <w:t>Европейски структурни и инвестиционни фондове</w:t>
          </w:r>
        </w:p>
      </w:tc>
    </w:tr>
  </w:tbl>
  <w:p w14:paraId="0C1F3347" w14:textId="77777777" w:rsidR="00D27637" w:rsidRDefault="00D27637" w:rsidP="0022030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8347A"/>
    <w:multiLevelType w:val="hybridMultilevel"/>
    <w:tmpl w:val="4DE22682"/>
    <w:lvl w:ilvl="0" w:tplc="C39CF068">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443C6"/>
    <w:multiLevelType w:val="hybridMultilevel"/>
    <w:tmpl w:val="98E8A2B6"/>
    <w:lvl w:ilvl="0" w:tplc="166A2244">
      <w:start w:val="13"/>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5D5370"/>
    <w:multiLevelType w:val="hybridMultilevel"/>
    <w:tmpl w:val="63E2388E"/>
    <w:lvl w:ilvl="0" w:tplc="E9249832">
      <w:numFmt w:val="bullet"/>
      <w:lvlText w:val="-"/>
      <w:lvlJc w:val="left"/>
      <w:pPr>
        <w:ind w:left="260" w:hanging="181"/>
      </w:pPr>
      <w:rPr>
        <w:rFonts w:ascii="Times New Roman" w:eastAsia="Times New Roman" w:hAnsi="Times New Roman" w:cs="Times New Roman" w:hint="default"/>
        <w:spacing w:val="-28"/>
        <w:w w:val="99"/>
        <w:sz w:val="24"/>
        <w:szCs w:val="24"/>
        <w:lang w:val="bg-BG" w:eastAsia="bg-BG" w:bidi="bg-BG"/>
      </w:rPr>
    </w:lvl>
    <w:lvl w:ilvl="1" w:tplc="5802DAD4">
      <w:numFmt w:val="bullet"/>
      <w:lvlText w:val="•"/>
      <w:lvlJc w:val="left"/>
      <w:pPr>
        <w:ind w:left="1326" w:hanging="181"/>
      </w:pPr>
      <w:rPr>
        <w:rFonts w:hint="default"/>
        <w:lang w:val="bg-BG" w:eastAsia="bg-BG" w:bidi="bg-BG"/>
      </w:rPr>
    </w:lvl>
    <w:lvl w:ilvl="2" w:tplc="8D26713C">
      <w:numFmt w:val="bullet"/>
      <w:lvlText w:val="•"/>
      <w:lvlJc w:val="left"/>
      <w:pPr>
        <w:ind w:left="2392" w:hanging="181"/>
      </w:pPr>
      <w:rPr>
        <w:rFonts w:hint="default"/>
        <w:lang w:val="bg-BG" w:eastAsia="bg-BG" w:bidi="bg-BG"/>
      </w:rPr>
    </w:lvl>
    <w:lvl w:ilvl="3" w:tplc="7096B574">
      <w:numFmt w:val="bullet"/>
      <w:lvlText w:val="•"/>
      <w:lvlJc w:val="left"/>
      <w:pPr>
        <w:ind w:left="3458" w:hanging="181"/>
      </w:pPr>
      <w:rPr>
        <w:rFonts w:hint="default"/>
        <w:lang w:val="bg-BG" w:eastAsia="bg-BG" w:bidi="bg-BG"/>
      </w:rPr>
    </w:lvl>
    <w:lvl w:ilvl="4" w:tplc="ADE4829C">
      <w:numFmt w:val="bullet"/>
      <w:lvlText w:val="•"/>
      <w:lvlJc w:val="left"/>
      <w:pPr>
        <w:ind w:left="4524" w:hanging="181"/>
      </w:pPr>
      <w:rPr>
        <w:rFonts w:hint="default"/>
        <w:lang w:val="bg-BG" w:eastAsia="bg-BG" w:bidi="bg-BG"/>
      </w:rPr>
    </w:lvl>
    <w:lvl w:ilvl="5" w:tplc="3F8428F4">
      <w:numFmt w:val="bullet"/>
      <w:lvlText w:val="•"/>
      <w:lvlJc w:val="left"/>
      <w:pPr>
        <w:ind w:left="5590" w:hanging="181"/>
      </w:pPr>
      <w:rPr>
        <w:rFonts w:hint="default"/>
        <w:lang w:val="bg-BG" w:eastAsia="bg-BG" w:bidi="bg-BG"/>
      </w:rPr>
    </w:lvl>
    <w:lvl w:ilvl="6" w:tplc="6C6AA9CA">
      <w:numFmt w:val="bullet"/>
      <w:lvlText w:val="•"/>
      <w:lvlJc w:val="left"/>
      <w:pPr>
        <w:ind w:left="6656" w:hanging="181"/>
      </w:pPr>
      <w:rPr>
        <w:rFonts w:hint="default"/>
        <w:lang w:val="bg-BG" w:eastAsia="bg-BG" w:bidi="bg-BG"/>
      </w:rPr>
    </w:lvl>
    <w:lvl w:ilvl="7" w:tplc="52E6B21E">
      <w:numFmt w:val="bullet"/>
      <w:lvlText w:val="•"/>
      <w:lvlJc w:val="left"/>
      <w:pPr>
        <w:ind w:left="7722" w:hanging="181"/>
      </w:pPr>
      <w:rPr>
        <w:rFonts w:hint="default"/>
        <w:lang w:val="bg-BG" w:eastAsia="bg-BG" w:bidi="bg-BG"/>
      </w:rPr>
    </w:lvl>
    <w:lvl w:ilvl="8" w:tplc="A9827B1C">
      <w:numFmt w:val="bullet"/>
      <w:lvlText w:val="•"/>
      <w:lvlJc w:val="left"/>
      <w:pPr>
        <w:ind w:left="8788" w:hanging="181"/>
      </w:pPr>
      <w:rPr>
        <w:rFonts w:hint="default"/>
        <w:lang w:val="bg-BG" w:eastAsia="bg-BG" w:bidi="bg-BG"/>
      </w:rPr>
    </w:lvl>
  </w:abstractNum>
  <w:abstractNum w:abstractNumId="3" w15:restartNumberingAfterBreak="0">
    <w:nsid w:val="12A56F7F"/>
    <w:multiLevelType w:val="hybridMultilevel"/>
    <w:tmpl w:val="39781A5A"/>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4" w15:restartNumberingAfterBreak="0">
    <w:nsid w:val="1A71115F"/>
    <w:multiLevelType w:val="hybridMultilevel"/>
    <w:tmpl w:val="B8E84554"/>
    <w:lvl w:ilvl="0" w:tplc="F63041E0">
      <w:start w:val="10"/>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FC0E24"/>
    <w:multiLevelType w:val="hybridMultilevel"/>
    <w:tmpl w:val="41BE9796"/>
    <w:lvl w:ilvl="0" w:tplc="04090001">
      <w:start w:val="1"/>
      <w:numFmt w:val="bullet"/>
      <w:lvlText w:val=""/>
      <w:lvlJc w:val="left"/>
      <w:pPr>
        <w:ind w:left="1004" w:hanging="360"/>
      </w:pPr>
      <w:rPr>
        <w:rFonts w:ascii="Symbol" w:hAnsi="Symbol" w:hint="default"/>
        <w:b w:val="0"/>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6" w15:restartNumberingAfterBreak="0">
    <w:nsid w:val="1FDD09DF"/>
    <w:multiLevelType w:val="hybridMultilevel"/>
    <w:tmpl w:val="9FC85728"/>
    <w:lvl w:ilvl="0" w:tplc="5BE284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8566BF"/>
    <w:multiLevelType w:val="hybridMultilevel"/>
    <w:tmpl w:val="12EC3FE2"/>
    <w:lvl w:ilvl="0" w:tplc="21B2079C">
      <w:numFmt w:val="bullet"/>
      <w:lvlText w:val="-"/>
      <w:lvlJc w:val="left"/>
      <w:pPr>
        <w:ind w:left="187" w:hanging="140"/>
      </w:pPr>
      <w:rPr>
        <w:rFonts w:ascii="Times New Roman" w:eastAsia="Times New Roman" w:hAnsi="Times New Roman" w:cs="Times New Roman" w:hint="default"/>
        <w:b/>
        <w:bCs/>
        <w:w w:val="99"/>
        <w:sz w:val="24"/>
        <w:szCs w:val="24"/>
        <w:lang w:val="bg-BG" w:eastAsia="bg-BG" w:bidi="bg-BG"/>
      </w:rPr>
    </w:lvl>
    <w:lvl w:ilvl="1" w:tplc="40B01694">
      <w:numFmt w:val="bullet"/>
      <w:lvlText w:val="•"/>
      <w:lvlJc w:val="left"/>
      <w:pPr>
        <w:ind w:left="1215" w:hanging="140"/>
      </w:pPr>
      <w:rPr>
        <w:rFonts w:hint="default"/>
        <w:lang w:val="bg-BG" w:eastAsia="bg-BG" w:bidi="bg-BG"/>
      </w:rPr>
    </w:lvl>
    <w:lvl w:ilvl="2" w:tplc="89F2B326">
      <w:numFmt w:val="bullet"/>
      <w:lvlText w:val="•"/>
      <w:lvlJc w:val="left"/>
      <w:pPr>
        <w:ind w:left="2251" w:hanging="140"/>
      </w:pPr>
      <w:rPr>
        <w:rFonts w:hint="default"/>
        <w:lang w:val="bg-BG" w:eastAsia="bg-BG" w:bidi="bg-BG"/>
      </w:rPr>
    </w:lvl>
    <w:lvl w:ilvl="3" w:tplc="63762E18">
      <w:numFmt w:val="bullet"/>
      <w:lvlText w:val="•"/>
      <w:lvlJc w:val="left"/>
      <w:pPr>
        <w:ind w:left="3287" w:hanging="140"/>
      </w:pPr>
      <w:rPr>
        <w:rFonts w:hint="default"/>
        <w:lang w:val="bg-BG" w:eastAsia="bg-BG" w:bidi="bg-BG"/>
      </w:rPr>
    </w:lvl>
    <w:lvl w:ilvl="4" w:tplc="993E74CC">
      <w:numFmt w:val="bullet"/>
      <w:lvlText w:val="•"/>
      <w:lvlJc w:val="left"/>
      <w:pPr>
        <w:ind w:left="4323" w:hanging="140"/>
      </w:pPr>
      <w:rPr>
        <w:rFonts w:hint="default"/>
        <w:lang w:val="bg-BG" w:eastAsia="bg-BG" w:bidi="bg-BG"/>
      </w:rPr>
    </w:lvl>
    <w:lvl w:ilvl="5" w:tplc="40383284">
      <w:numFmt w:val="bullet"/>
      <w:lvlText w:val="•"/>
      <w:lvlJc w:val="left"/>
      <w:pPr>
        <w:ind w:left="5359" w:hanging="140"/>
      </w:pPr>
      <w:rPr>
        <w:rFonts w:hint="default"/>
        <w:lang w:val="bg-BG" w:eastAsia="bg-BG" w:bidi="bg-BG"/>
      </w:rPr>
    </w:lvl>
    <w:lvl w:ilvl="6" w:tplc="7EAAB0E0">
      <w:numFmt w:val="bullet"/>
      <w:lvlText w:val="•"/>
      <w:lvlJc w:val="left"/>
      <w:pPr>
        <w:ind w:left="6395" w:hanging="140"/>
      </w:pPr>
      <w:rPr>
        <w:rFonts w:hint="default"/>
        <w:lang w:val="bg-BG" w:eastAsia="bg-BG" w:bidi="bg-BG"/>
      </w:rPr>
    </w:lvl>
    <w:lvl w:ilvl="7" w:tplc="F3046B50">
      <w:numFmt w:val="bullet"/>
      <w:lvlText w:val="•"/>
      <w:lvlJc w:val="left"/>
      <w:pPr>
        <w:ind w:left="7430" w:hanging="140"/>
      </w:pPr>
      <w:rPr>
        <w:rFonts w:hint="default"/>
        <w:lang w:val="bg-BG" w:eastAsia="bg-BG" w:bidi="bg-BG"/>
      </w:rPr>
    </w:lvl>
    <w:lvl w:ilvl="8" w:tplc="3A1E1E8C">
      <w:numFmt w:val="bullet"/>
      <w:lvlText w:val="•"/>
      <w:lvlJc w:val="left"/>
      <w:pPr>
        <w:ind w:left="8466" w:hanging="140"/>
      </w:pPr>
      <w:rPr>
        <w:rFonts w:hint="default"/>
        <w:lang w:val="bg-BG" w:eastAsia="bg-BG" w:bidi="bg-BG"/>
      </w:rPr>
    </w:lvl>
  </w:abstractNum>
  <w:abstractNum w:abstractNumId="8" w15:restartNumberingAfterBreak="0">
    <w:nsid w:val="29FA045B"/>
    <w:multiLevelType w:val="hybridMultilevel"/>
    <w:tmpl w:val="8180938E"/>
    <w:lvl w:ilvl="0" w:tplc="166A2244">
      <w:start w:val="13"/>
      <w:numFmt w:val="bullet"/>
      <w:lvlText w:val="-"/>
      <w:lvlJc w:val="left"/>
      <w:pPr>
        <w:ind w:left="1080" w:hanging="360"/>
      </w:pPr>
      <w:rPr>
        <w:rFonts w:ascii="Times New Roman" w:eastAsia="Times New Roman" w:hAnsi="Times New Roman" w:cs="Times New Roman" w:hint="default"/>
      </w:rPr>
    </w:lvl>
    <w:lvl w:ilvl="1" w:tplc="166A2244">
      <w:start w:val="13"/>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4A67C60"/>
    <w:multiLevelType w:val="hybridMultilevel"/>
    <w:tmpl w:val="8B105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E04F0B"/>
    <w:multiLevelType w:val="hybridMultilevel"/>
    <w:tmpl w:val="4C780BDC"/>
    <w:lvl w:ilvl="0" w:tplc="66AE964C">
      <w:start w:val="1"/>
      <w:numFmt w:val="decimal"/>
      <w:lvlText w:val="%1."/>
      <w:lvlJc w:val="left"/>
      <w:pPr>
        <w:ind w:left="260" w:hanging="269"/>
        <w:jc w:val="left"/>
      </w:pPr>
      <w:rPr>
        <w:rFonts w:ascii="Times New Roman" w:eastAsia="Times New Roman" w:hAnsi="Times New Roman" w:cs="Times New Roman" w:hint="default"/>
        <w:w w:val="100"/>
        <w:sz w:val="24"/>
        <w:szCs w:val="24"/>
        <w:lang w:val="bg-BG" w:eastAsia="bg-BG" w:bidi="bg-BG"/>
      </w:rPr>
    </w:lvl>
    <w:lvl w:ilvl="1" w:tplc="75BABED6">
      <w:numFmt w:val="bullet"/>
      <w:lvlText w:val="•"/>
      <w:lvlJc w:val="left"/>
      <w:pPr>
        <w:ind w:left="1326" w:hanging="269"/>
      </w:pPr>
      <w:rPr>
        <w:rFonts w:hint="default"/>
        <w:lang w:val="bg-BG" w:eastAsia="bg-BG" w:bidi="bg-BG"/>
      </w:rPr>
    </w:lvl>
    <w:lvl w:ilvl="2" w:tplc="D0C477D4">
      <w:numFmt w:val="bullet"/>
      <w:lvlText w:val="•"/>
      <w:lvlJc w:val="left"/>
      <w:pPr>
        <w:ind w:left="2392" w:hanging="269"/>
      </w:pPr>
      <w:rPr>
        <w:rFonts w:hint="default"/>
        <w:lang w:val="bg-BG" w:eastAsia="bg-BG" w:bidi="bg-BG"/>
      </w:rPr>
    </w:lvl>
    <w:lvl w:ilvl="3" w:tplc="7B4ED802">
      <w:numFmt w:val="bullet"/>
      <w:lvlText w:val="•"/>
      <w:lvlJc w:val="left"/>
      <w:pPr>
        <w:ind w:left="3458" w:hanging="269"/>
      </w:pPr>
      <w:rPr>
        <w:rFonts w:hint="default"/>
        <w:lang w:val="bg-BG" w:eastAsia="bg-BG" w:bidi="bg-BG"/>
      </w:rPr>
    </w:lvl>
    <w:lvl w:ilvl="4" w:tplc="86E235BE">
      <w:numFmt w:val="bullet"/>
      <w:lvlText w:val="•"/>
      <w:lvlJc w:val="left"/>
      <w:pPr>
        <w:ind w:left="4524" w:hanging="269"/>
      </w:pPr>
      <w:rPr>
        <w:rFonts w:hint="default"/>
        <w:lang w:val="bg-BG" w:eastAsia="bg-BG" w:bidi="bg-BG"/>
      </w:rPr>
    </w:lvl>
    <w:lvl w:ilvl="5" w:tplc="3A961E1E">
      <w:numFmt w:val="bullet"/>
      <w:lvlText w:val="•"/>
      <w:lvlJc w:val="left"/>
      <w:pPr>
        <w:ind w:left="5590" w:hanging="269"/>
      </w:pPr>
      <w:rPr>
        <w:rFonts w:hint="default"/>
        <w:lang w:val="bg-BG" w:eastAsia="bg-BG" w:bidi="bg-BG"/>
      </w:rPr>
    </w:lvl>
    <w:lvl w:ilvl="6" w:tplc="D20CA008">
      <w:numFmt w:val="bullet"/>
      <w:lvlText w:val="•"/>
      <w:lvlJc w:val="left"/>
      <w:pPr>
        <w:ind w:left="6656" w:hanging="269"/>
      </w:pPr>
      <w:rPr>
        <w:rFonts w:hint="default"/>
        <w:lang w:val="bg-BG" w:eastAsia="bg-BG" w:bidi="bg-BG"/>
      </w:rPr>
    </w:lvl>
    <w:lvl w:ilvl="7" w:tplc="C226A388">
      <w:numFmt w:val="bullet"/>
      <w:lvlText w:val="•"/>
      <w:lvlJc w:val="left"/>
      <w:pPr>
        <w:ind w:left="7722" w:hanging="269"/>
      </w:pPr>
      <w:rPr>
        <w:rFonts w:hint="default"/>
        <w:lang w:val="bg-BG" w:eastAsia="bg-BG" w:bidi="bg-BG"/>
      </w:rPr>
    </w:lvl>
    <w:lvl w:ilvl="8" w:tplc="34AC3CF2">
      <w:numFmt w:val="bullet"/>
      <w:lvlText w:val="•"/>
      <w:lvlJc w:val="left"/>
      <w:pPr>
        <w:ind w:left="8788" w:hanging="269"/>
      </w:pPr>
      <w:rPr>
        <w:rFonts w:hint="default"/>
        <w:lang w:val="bg-BG" w:eastAsia="bg-BG" w:bidi="bg-BG"/>
      </w:rPr>
    </w:lvl>
  </w:abstractNum>
  <w:abstractNum w:abstractNumId="11" w15:restartNumberingAfterBreak="0">
    <w:nsid w:val="38D91AED"/>
    <w:multiLevelType w:val="hybridMultilevel"/>
    <w:tmpl w:val="51F8EAD6"/>
    <w:lvl w:ilvl="0" w:tplc="AD622DBE">
      <w:start w:val="1"/>
      <w:numFmt w:val="decimal"/>
      <w:lvlText w:val="%1."/>
      <w:lvlJc w:val="left"/>
      <w:pPr>
        <w:ind w:left="260" w:hanging="341"/>
        <w:jc w:val="left"/>
      </w:pPr>
      <w:rPr>
        <w:rFonts w:ascii="Times New Roman" w:eastAsia="Times New Roman" w:hAnsi="Times New Roman" w:cs="Times New Roman" w:hint="default"/>
        <w:spacing w:val="-21"/>
        <w:w w:val="100"/>
        <w:sz w:val="24"/>
        <w:szCs w:val="24"/>
        <w:lang w:val="bg-BG" w:eastAsia="bg-BG" w:bidi="bg-BG"/>
      </w:rPr>
    </w:lvl>
    <w:lvl w:ilvl="1" w:tplc="21C4B5F2">
      <w:numFmt w:val="bullet"/>
      <w:lvlText w:val="•"/>
      <w:lvlJc w:val="left"/>
      <w:pPr>
        <w:ind w:left="1326" w:hanging="341"/>
      </w:pPr>
      <w:rPr>
        <w:rFonts w:hint="default"/>
        <w:lang w:val="bg-BG" w:eastAsia="bg-BG" w:bidi="bg-BG"/>
      </w:rPr>
    </w:lvl>
    <w:lvl w:ilvl="2" w:tplc="7234C1BA">
      <w:numFmt w:val="bullet"/>
      <w:lvlText w:val="•"/>
      <w:lvlJc w:val="left"/>
      <w:pPr>
        <w:ind w:left="2392" w:hanging="341"/>
      </w:pPr>
      <w:rPr>
        <w:rFonts w:hint="default"/>
        <w:lang w:val="bg-BG" w:eastAsia="bg-BG" w:bidi="bg-BG"/>
      </w:rPr>
    </w:lvl>
    <w:lvl w:ilvl="3" w:tplc="ADDA213C">
      <w:numFmt w:val="bullet"/>
      <w:lvlText w:val="•"/>
      <w:lvlJc w:val="left"/>
      <w:pPr>
        <w:ind w:left="3458" w:hanging="341"/>
      </w:pPr>
      <w:rPr>
        <w:rFonts w:hint="default"/>
        <w:lang w:val="bg-BG" w:eastAsia="bg-BG" w:bidi="bg-BG"/>
      </w:rPr>
    </w:lvl>
    <w:lvl w:ilvl="4" w:tplc="63122DE2">
      <w:numFmt w:val="bullet"/>
      <w:lvlText w:val="•"/>
      <w:lvlJc w:val="left"/>
      <w:pPr>
        <w:ind w:left="4524" w:hanging="341"/>
      </w:pPr>
      <w:rPr>
        <w:rFonts w:hint="default"/>
        <w:lang w:val="bg-BG" w:eastAsia="bg-BG" w:bidi="bg-BG"/>
      </w:rPr>
    </w:lvl>
    <w:lvl w:ilvl="5" w:tplc="8ACC3EE8">
      <w:numFmt w:val="bullet"/>
      <w:lvlText w:val="•"/>
      <w:lvlJc w:val="left"/>
      <w:pPr>
        <w:ind w:left="5590" w:hanging="341"/>
      </w:pPr>
      <w:rPr>
        <w:rFonts w:hint="default"/>
        <w:lang w:val="bg-BG" w:eastAsia="bg-BG" w:bidi="bg-BG"/>
      </w:rPr>
    </w:lvl>
    <w:lvl w:ilvl="6" w:tplc="9480939E">
      <w:numFmt w:val="bullet"/>
      <w:lvlText w:val="•"/>
      <w:lvlJc w:val="left"/>
      <w:pPr>
        <w:ind w:left="6656" w:hanging="341"/>
      </w:pPr>
      <w:rPr>
        <w:rFonts w:hint="default"/>
        <w:lang w:val="bg-BG" w:eastAsia="bg-BG" w:bidi="bg-BG"/>
      </w:rPr>
    </w:lvl>
    <w:lvl w:ilvl="7" w:tplc="A224E4FC">
      <w:numFmt w:val="bullet"/>
      <w:lvlText w:val="•"/>
      <w:lvlJc w:val="left"/>
      <w:pPr>
        <w:ind w:left="7722" w:hanging="341"/>
      </w:pPr>
      <w:rPr>
        <w:rFonts w:hint="default"/>
        <w:lang w:val="bg-BG" w:eastAsia="bg-BG" w:bidi="bg-BG"/>
      </w:rPr>
    </w:lvl>
    <w:lvl w:ilvl="8" w:tplc="1AEC24F2">
      <w:numFmt w:val="bullet"/>
      <w:lvlText w:val="•"/>
      <w:lvlJc w:val="left"/>
      <w:pPr>
        <w:ind w:left="8788" w:hanging="341"/>
      </w:pPr>
      <w:rPr>
        <w:rFonts w:hint="default"/>
        <w:lang w:val="bg-BG" w:eastAsia="bg-BG" w:bidi="bg-BG"/>
      </w:rPr>
    </w:lvl>
  </w:abstractNum>
  <w:abstractNum w:abstractNumId="12" w15:restartNumberingAfterBreak="0">
    <w:nsid w:val="39693063"/>
    <w:multiLevelType w:val="hybridMultilevel"/>
    <w:tmpl w:val="284EA554"/>
    <w:lvl w:ilvl="0" w:tplc="166A2244">
      <w:start w:val="1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FD0395"/>
    <w:multiLevelType w:val="hybridMultilevel"/>
    <w:tmpl w:val="092AF09C"/>
    <w:lvl w:ilvl="0" w:tplc="5BE284A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150BEC"/>
    <w:multiLevelType w:val="hybridMultilevel"/>
    <w:tmpl w:val="1EC4B63A"/>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18B2D3E"/>
    <w:multiLevelType w:val="hybridMultilevel"/>
    <w:tmpl w:val="DB4C786C"/>
    <w:lvl w:ilvl="0" w:tplc="5BE284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1E070F"/>
    <w:multiLevelType w:val="hybridMultilevel"/>
    <w:tmpl w:val="F6A843DE"/>
    <w:lvl w:ilvl="0" w:tplc="04090001">
      <w:start w:val="1"/>
      <w:numFmt w:val="bullet"/>
      <w:lvlText w:val=""/>
      <w:lvlJc w:val="left"/>
      <w:pPr>
        <w:ind w:left="1582" w:hanging="360"/>
      </w:pPr>
      <w:rPr>
        <w:rFonts w:ascii="Symbol" w:hAnsi="Symbol" w:hint="default"/>
      </w:rPr>
    </w:lvl>
    <w:lvl w:ilvl="1" w:tplc="04090003" w:tentative="1">
      <w:start w:val="1"/>
      <w:numFmt w:val="bullet"/>
      <w:lvlText w:val="o"/>
      <w:lvlJc w:val="left"/>
      <w:pPr>
        <w:ind w:left="2302" w:hanging="360"/>
      </w:pPr>
      <w:rPr>
        <w:rFonts w:ascii="Courier New" w:hAnsi="Courier New" w:cs="Courier New" w:hint="default"/>
      </w:rPr>
    </w:lvl>
    <w:lvl w:ilvl="2" w:tplc="04090005" w:tentative="1">
      <w:start w:val="1"/>
      <w:numFmt w:val="bullet"/>
      <w:lvlText w:val=""/>
      <w:lvlJc w:val="left"/>
      <w:pPr>
        <w:ind w:left="3022" w:hanging="360"/>
      </w:pPr>
      <w:rPr>
        <w:rFonts w:ascii="Wingdings" w:hAnsi="Wingdings" w:hint="default"/>
      </w:rPr>
    </w:lvl>
    <w:lvl w:ilvl="3" w:tplc="04090001" w:tentative="1">
      <w:start w:val="1"/>
      <w:numFmt w:val="bullet"/>
      <w:lvlText w:val=""/>
      <w:lvlJc w:val="left"/>
      <w:pPr>
        <w:ind w:left="3742" w:hanging="360"/>
      </w:pPr>
      <w:rPr>
        <w:rFonts w:ascii="Symbol" w:hAnsi="Symbol" w:hint="default"/>
      </w:rPr>
    </w:lvl>
    <w:lvl w:ilvl="4" w:tplc="04090003" w:tentative="1">
      <w:start w:val="1"/>
      <w:numFmt w:val="bullet"/>
      <w:lvlText w:val="o"/>
      <w:lvlJc w:val="left"/>
      <w:pPr>
        <w:ind w:left="4462" w:hanging="360"/>
      </w:pPr>
      <w:rPr>
        <w:rFonts w:ascii="Courier New" w:hAnsi="Courier New" w:cs="Courier New" w:hint="default"/>
      </w:rPr>
    </w:lvl>
    <w:lvl w:ilvl="5" w:tplc="04090005" w:tentative="1">
      <w:start w:val="1"/>
      <w:numFmt w:val="bullet"/>
      <w:lvlText w:val=""/>
      <w:lvlJc w:val="left"/>
      <w:pPr>
        <w:ind w:left="5182" w:hanging="360"/>
      </w:pPr>
      <w:rPr>
        <w:rFonts w:ascii="Wingdings" w:hAnsi="Wingdings" w:hint="default"/>
      </w:rPr>
    </w:lvl>
    <w:lvl w:ilvl="6" w:tplc="04090001" w:tentative="1">
      <w:start w:val="1"/>
      <w:numFmt w:val="bullet"/>
      <w:lvlText w:val=""/>
      <w:lvlJc w:val="left"/>
      <w:pPr>
        <w:ind w:left="5902" w:hanging="360"/>
      </w:pPr>
      <w:rPr>
        <w:rFonts w:ascii="Symbol" w:hAnsi="Symbol" w:hint="default"/>
      </w:rPr>
    </w:lvl>
    <w:lvl w:ilvl="7" w:tplc="04090003" w:tentative="1">
      <w:start w:val="1"/>
      <w:numFmt w:val="bullet"/>
      <w:lvlText w:val="o"/>
      <w:lvlJc w:val="left"/>
      <w:pPr>
        <w:ind w:left="6622" w:hanging="360"/>
      </w:pPr>
      <w:rPr>
        <w:rFonts w:ascii="Courier New" w:hAnsi="Courier New" w:cs="Courier New" w:hint="default"/>
      </w:rPr>
    </w:lvl>
    <w:lvl w:ilvl="8" w:tplc="04090005" w:tentative="1">
      <w:start w:val="1"/>
      <w:numFmt w:val="bullet"/>
      <w:lvlText w:val=""/>
      <w:lvlJc w:val="left"/>
      <w:pPr>
        <w:ind w:left="7342" w:hanging="360"/>
      </w:pPr>
      <w:rPr>
        <w:rFonts w:ascii="Wingdings" w:hAnsi="Wingdings" w:hint="default"/>
      </w:rPr>
    </w:lvl>
  </w:abstractNum>
  <w:abstractNum w:abstractNumId="17" w15:restartNumberingAfterBreak="0">
    <w:nsid w:val="4C824F42"/>
    <w:multiLevelType w:val="hybridMultilevel"/>
    <w:tmpl w:val="707255FA"/>
    <w:lvl w:ilvl="0" w:tplc="E3F274EA">
      <w:start w:val="1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D5D1CD6"/>
    <w:multiLevelType w:val="multilevel"/>
    <w:tmpl w:val="D39CBD8E"/>
    <w:lvl w:ilvl="0">
      <w:start w:val="1"/>
      <w:numFmt w:val="decimal"/>
      <w:lvlText w:val="%1."/>
      <w:lvlJc w:val="left"/>
      <w:pPr>
        <w:ind w:left="786" w:hanging="360"/>
      </w:pPr>
      <w:rPr>
        <w:rFonts w:hint="default"/>
        <w:b/>
        <w:sz w:val="24"/>
        <w:szCs w:val="24"/>
      </w:rPr>
    </w:lvl>
    <w:lvl w:ilvl="1">
      <w:start w:val="1"/>
      <w:numFmt w:val="decimal"/>
      <w:isLgl/>
      <w:lvlText w:val="%1.%2."/>
      <w:lvlJc w:val="left"/>
      <w:pPr>
        <w:ind w:left="882" w:hanging="456"/>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19" w15:restartNumberingAfterBreak="0">
    <w:nsid w:val="4E682338"/>
    <w:multiLevelType w:val="hybridMultilevel"/>
    <w:tmpl w:val="CCF0B412"/>
    <w:lvl w:ilvl="0" w:tplc="0809000F">
      <w:start w:val="1"/>
      <w:numFmt w:val="decimal"/>
      <w:lvlText w:val="%1."/>
      <w:lvlJc w:val="left"/>
      <w:pPr>
        <w:ind w:left="833" w:hanging="360"/>
      </w:p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20" w15:restartNumberingAfterBreak="0">
    <w:nsid w:val="56873F29"/>
    <w:multiLevelType w:val="hybridMultilevel"/>
    <w:tmpl w:val="3CB69300"/>
    <w:lvl w:ilvl="0" w:tplc="E0606240">
      <w:start w:val="1"/>
      <w:numFmt w:val="upperRoman"/>
      <w:lvlText w:val="%1."/>
      <w:lvlJc w:val="right"/>
      <w:pPr>
        <w:ind w:left="720" w:hanging="360"/>
      </w:pPr>
      <w:rPr>
        <w:color w:val="548DD4" w:themeColor="text2" w:themeTint="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CD59DD"/>
    <w:multiLevelType w:val="hybridMultilevel"/>
    <w:tmpl w:val="75385CCC"/>
    <w:lvl w:ilvl="0" w:tplc="166A2244">
      <w:start w:val="1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3E7673D"/>
    <w:multiLevelType w:val="hybridMultilevel"/>
    <w:tmpl w:val="AE8A8204"/>
    <w:lvl w:ilvl="0" w:tplc="3332780C">
      <w:start w:val="10"/>
      <w:numFmt w:val="bullet"/>
      <w:lvlText w:val="-"/>
      <w:lvlJc w:val="left"/>
      <w:pPr>
        <w:ind w:left="473"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F30291"/>
    <w:multiLevelType w:val="hybridMultilevel"/>
    <w:tmpl w:val="225694C6"/>
    <w:lvl w:ilvl="0" w:tplc="04090001">
      <w:start w:val="1"/>
      <w:numFmt w:val="bullet"/>
      <w:lvlText w:val=""/>
      <w:lvlJc w:val="left"/>
      <w:pPr>
        <w:ind w:left="720" w:hanging="360"/>
      </w:pPr>
      <w:rPr>
        <w:rFonts w:ascii="Symbol" w:hAnsi="Symbol" w:hint="default"/>
      </w:rPr>
    </w:lvl>
    <w:lvl w:ilvl="1" w:tplc="171E25DC">
      <w:start w:val="10"/>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214582"/>
    <w:multiLevelType w:val="hybridMultilevel"/>
    <w:tmpl w:val="D6143398"/>
    <w:lvl w:ilvl="0" w:tplc="8DA21076">
      <w:numFmt w:val="bullet"/>
      <w:lvlText w:val="-"/>
      <w:lvlJc w:val="left"/>
      <w:pPr>
        <w:ind w:left="1004" w:hanging="360"/>
      </w:pPr>
      <w:rPr>
        <w:rFonts w:ascii="Times New Roman" w:eastAsia="Times New Roman" w:hAnsi="Times New Roman" w:cs="Times New Roman" w:hint="default"/>
        <w:b w:val="0"/>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25" w15:restartNumberingAfterBreak="0">
    <w:nsid w:val="6BCA753E"/>
    <w:multiLevelType w:val="hybridMultilevel"/>
    <w:tmpl w:val="1AFA50E8"/>
    <w:lvl w:ilvl="0" w:tplc="166A2244">
      <w:start w:val="13"/>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F9C7FDB"/>
    <w:multiLevelType w:val="hybridMultilevel"/>
    <w:tmpl w:val="9CC23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885CA0"/>
    <w:multiLevelType w:val="hybridMultilevel"/>
    <w:tmpl w:val="7292CEA8"/>
    <w:lvl w:ilvl="0" w:tplc="AB94D74E">
      <w:start w:val="4"/>
      <w:numFmt w:val="bullet"/>
      <w:lvlText w:val="•"/>
      <w:lvlJc w:val="left"/>
      <w:pPr>
        <w:ind w:left="502" w:hanging="360"/>
      </w:pPr>
      <w:rPr>
        <w:rFonts w:ascii="Times New Roman" w:eastAsia="Calibri"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8" w15:restartNumberingAfterBreak="0">
    <w:nsid w:val="79405506"/>
    <w:multiLevelType w:val="hybridMultilevel"/>
    <w:tmpl w:val="66EA81CE"/>
    <w:lvl w:ilvl="0" w:tplc="9C421086">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9F46054"/>
    <w:multiLevelType w:val="hybridMultilevel"/>
    <w:tmpl w:val="F252F180"/>
    <w:lvl w:ilvl="0" w:tplc="3332780C">
      <w:start w:val="10"/>
      <w:numFmt w:val="bullet"/>
      <w:lvlText w:val="-"/>
      <w:lvlJc w:val="left"/>
      <w:pPr>
        <w:ind w:left="473" w:hanging="360"/>
      </w:pPr>
      <w:rPr>
        <w:rFonts w:ascii="Times New Roman" w:eastAsia="Times New Roman" w:hAnsi="Times New Roman" w:cs="Times New Roman" w:hint="default"/>
      </w:rPr>
    </w:lvl>
    <w:lvl w:ilvl="1" w:tplc="04090003" w:tentative="1">
      <w:start w:val="1"/>
      <w:numFmt w:val="bullet"/>
      <w:lvlText w:val="o"/>
      <w:lvlJc w:val="left"/>
      <w:pPr>
        <w:ind w:left="1193" w:hanging="360"/>
      </w:pPr>
      <w:rPr>
        <w:rFonts w:ascii="Courier New" w:hAnsi="Courier New" w:cs="Courier New" w:hint="default"/>
      </w:rPr>
    </w:lvl>
    <w:lvl w:ilvl="2" w:tplc="04090005" w:tentative="1">
      <w:start w:val="1"/>
      <w:numFmt w:val="bullet"/>
      <w:lvlText w:val=""/>
      <w:lvlJc w:val="left"/>
      <w:pPr>
        <w:ind w:left="1913" w:hanging="360"/>
      </w:pPr>
      <w:rPr>
        <w:rFonts w:ascii="Wingdings" w:hAnsi="Wingdings" w:hint="default"/>
      </w:rPr>
    </w:lvl>
    <w:lvl w:ilvl="3" w:tplc="04090001" w:tentative="1">
      <w:start w:val="1"/>
      <w:numFmt w:val="bullet"/>
      <w:lvlText w:val=""/>
      <w:lvlJc w:val="left"/>
      <w:pPr>
        <w:ind w:left="2633" w:hanging="360"/>
      </w:pPr>
      <w:rPr>
        <w:rFonts w:ascii="Symbol" w:hAnsi="Symbol" w:hint="default"/>
      </w:rPr>
    </w:lvl>
    <w:lvl w:ilvl="4" w:tplc="04090003" w:tentative="1">
      <w:start w:val="1"/>
      <w:numFmt w:val="bullet"/>
      <w:lvlText w:val="o"/>
      <w:lvlJc w:val="left"/>
      <w:pPr>
        <w:ind w:left="3353" w:hanging="360"/>
      </w:pPr>
      <w:rPr>
        <w:rFonts w:ascii="Courier New" w:hAnsi="Courier New" w:cs="Courier New" w:hint="default"/>
      </w:rPr>
    </w:lvl>
    <w:lvl w:ilvl="5" w:tplc="04090005" w:tentative="1">
      <w:start w:val="1"/>
      <w:numFmt w:val="bullet"/>
      <w:lvlText w:val=""/>
      <w:lvlJc w:val="left"/>
      <w:pPr>
        <w:ind w:left="4073" w:hanging="360"/>
      </w:pPr>
      <w:rPr>
        <w:rFonts w:ascii="Wingdings" w:hAnsi="Wingdings" w:hint="default"/>
      </w:rPr>
    </w:lvl>
    <w:lvl w:ilvl="6" w:tplc="04090001" w:tentative="1">
      <w:start w:val="1"/>
      <w:numFmt w:val="bullet"/>
      <w:lvlText w:val=""/>
      <w:lvlJc w:val="left"/>
      <w:pPr>
        <w:ind w:left="4793" w:hanging="360"/>
      </w:pPr>
      <w:rPr>
        <w:rFonts w:ascii="Symbol" w:hAnsi="Symbol" w:hint="default"/>
      </w:rPr>
    </w:lvl>
    <w:lvl w:ilvl="7" w:tplc="04090003" w:tentative="1">
      <w:start w:val="1"/>
      <w:numFmt w:val="bullet"/>
      <w:lvlText w:val="o"/>
      <w:lvlJc w:val="left"/>
      <w:pPr>
        <w:ind w:left="5513" w:hanging="360"/>
      </w:pPr>
      <w:rPr>
        <w:rFonts w:ascii="Courier New" w:hAnsi="Courier New" w:cs="Courier New" w:hint="default"/>
      </w:rPr>
    </w:lvl>
    <w:lvl w:ilvl="8" w:tplc="04090005" w:tentative="1">
      <w:start w:val="1"/>
      <w:numFmt w:val="bullet"/>
      <w:lvlText w:val=""/>
      <w:lvlJc w:val="left"/>
      <w:pPr>
        <w:ind w:left="6233" w:hanging="360"/>
      </w:pPr>
      <w:rPr>
        <w:rFonts w:ascii="Wingdings" w:hAnsi="Wingdings" w:hint="default"/>
      </w:rPr>
    </w:lvl>
  </w:abstractNum>
  <w:abstractNum w:abstractNumId="30" w15:restartNumberingAfterBreak="0">
    <w:nsid w:val="7EF304A1"/>
    <w:multiLevelType w:val="hybridMultilevel"/>
    <w:tmpl w:val="A9E67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0"/>
  </w:num>
  <w:num w:numId="4">
    <w:abstractNumId w:val="11"/>
  </w:num>
  <w:num w:numId="5">
    <w:abstractNumId w:val="24"/>
  </w:num>
  <w:num w:numId="6">
    <w:abstractNumId w:val="14"/>
  </w:num>
  <w:num w:numId="7">
    <w:abstractNumId w:val="30"/>
  </w:num>
  <w:num w:numId="8">
    <w:abstractNumId w:val="0"/>
  </w:num>
  <w:num w:numId="9">
    <w:abstractNumId w:val="16"/>
  </w:num>
  <w:num w:numId="10">
    <w:abstractNumId w:val="27"/>
  </w:num>
  <w:num w:numId="11">
    <w:abstractNumId w:val="18"/>
  </w:num>
  <w:num w:numId="12">
    <w:abstractNumId w:val="20"/>
  </w:num>
  <w:num w:numId="13">
    <w:abstractNumId w:val="5"/>
  </w:num>
  <w:num w:numId="14">
    <w:abstractNumId w:val="19"/>
  </w:num>
  <w:num w:numId="15">
    <w:abstractNumId w:val="13"/>
  </w:num>
  <w:num w:numId="16">
    <w:abstractNumId w:val="9"/>
  </w:num>
  <w:num w:numId="17">
    <w:abstractNumId w:val="26"/>
  </w:num>
  <w:num w:numId="18">
    <w:abstractNumId w:val="3"/>
  </w:num>
  <w:num w:numId="19">
    <w:abstractNumId w:val="29"/>
  </w:num>
  <w:num w:numId="20">
    <w:abstractNumId w:val="22"/>
  </w:num>
  <w:num w:numId="21">
    <w:abstractNumId w:val="21"/>
  </w:num>
  <w:num w:numId="22">
    <w:abstractNumId w:val="4"/>
  </w:num>
  <w:num w:numId="23">
    <w:abstractNumId w:val="23"/>
  </w:num>
  <w:num w:numId="24">
    <w:abstractNumId w:val="12"/>
  </w:num>
  <w:num w:numId="25">
    <w:abstractNumId w:val="8"/>
  </w:num>
  <w:num w:numId="26">
    <w:abstractNumId w:val="25"/>
  </w:num>
  <w:num w:numId="27">
    <w:abstractNumId w:val="1"/>
  </w:num>
  <w:num w:numId="28">
    <w:abstractNumId w:val="6"/>
  </w:num>
  <w:num w:numId="29">
    <w:abstractNumId w:val="15"/>
  </w:num>
  <w:num w:numId="30">
    <w:abstractNumId w:val="17"/>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4E"/>
    <w:rsid w:val="000E6F41"/>
    <w:rsid w:val="001E44CD"/>
    <w:rsid w:val="00206907"/>
    <w:rsid w:val="00210406"/>
    <w:rsid w:val="0026304E"/>
    <w:rsid w:val="002777B8"/>
    <w:rsid w:val="00286D5F"/>
    <w:rsid w:val="002F220F"/>
    <w:rsid w:val="002F3A49"/>
    <w:rsid w:val="00322CC6"/>
    <w:rsid w:val="003B7B44"/>
    <w:rsid w:val="004049E4"/>
    <w:rsid w:val="004875DF"/>
    <w:rsid w:val="00490E3C"/>
    <w:rsid w:val="00520594"/>
    <w:rsid w:val="005D1CF5"/>
    <w:rsid w:val="005D78BE"/>
    <w:rsid w:val="00677238"/>
    <w:rsid w:val="006A4DEF"/>
    <w:rsid w:val="006B5D06"/>
    <w:rsid w:val="006F3B13"/>
    <w:rsid w:val="007470F8"/>
    <w:rsid w:val="00747D0A"/>
    <w:rsid w:val="00774333"/>
    <w:rsid w:val="007B3EA5"/>
    <w:rsid w:val="007F10DD"/>
    <w:rsid w:val="00827717"/>
    <w:rsid w:val="008A5994"/>
    <w:rsid w:val="00947F3C"/>
    <w:rsid w:val="00985438"/>
    <w:rsid w:val="009E107C"/>
    <w:rsid w:val="00A414A1"/>
    <w:rsid w:val="00AE37C1"/>
    <w:rsid w:val="00B06297"/>
    <w:rsid w:val="00B52951"/>
    <w:rsid w:val="00B677A3"/>
    <w:rsid w:val="00BA633A"/>
    <w:rsid w:val="00BC167F"/>
    <w:rsid w:val="00BD7465"/>
    <w:rsid w:val="00BE62C9"/>
    <w:rsid w:val="00BE77D8"/>
    <w:rsid w:val="00C116BB"/>
    <w:rsid w:val="00C62581"/>
    <w:rsid w:val="00C63D8D"/>
    <w:rsid w:val="00C7449F"/>
    <w:rsid w:val="00CF4153"/>
    <w:rsid w:val="00D2593F"/>
    <w:rsid w:val="00D27637"/>
    <w:rsid w:val="00D538C8"/>
    <w:rsid w:val="00D9556B"/>
    <w:rsid w:val="00DA1F72"/>
    <w:rsid w:val="00DE54BD"/>
    <w:rsid w:val="00E02096"/>
    <w:rsid w:val="00E5212C"/>
    <w:rsid w:val="00EB0A10"/>
    <w:rsid w:val="00F55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D2BFB"/>
  <w15:docId w15:val="{3364E5D4-9EF6-437E-BB36-66DAB1FB5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bg-BG" w:eastAsia="bg-BG" w:bidi="bg-BG"/>
    </w:rPr>
  </w:style>
  <w:style w:type="paragraph" w:styleId="1">
    <w:name w:val="heading 1"/>
    <w:basedOn w:val="a"/>
    <w:uiPriority w:val="1"/>
    <w:qFormat/>
    <w:pPr>
      <w:ind w:left="2347" w:right="2309"/>
      <w:jc w:val="center"/>
      <w:outlineLvl w:val="0"/>
    </w:pPr>
    <w:rPr>
      <w:b/>
      <w:bCs/>
      <w:sz w:val="28"/>
      <w:szCs w:val="28"/>
    </w:rPr>
  </w:style>
  <w:style w:type="paragraph" w:styleId="2">
    <w:name w:val="heading 2"/>
    <w:basedOn w:val="a"/>
    <w:uiPriority w:val="1"/>
    <w:qFormat/>
    <w:pPr>
      <w:ind w:left="260"/>
      <w:outlineLvl w:val="1"/>
    </w:pPr>
    <w:rPr>
      <w:b/>
      <w:bCs/>
      <w:sz w:val="24"/>
      <w:szCs w:val="24"/>
    </w:rPr>
  </w:style>
  <w:style w:type="paragraph" w:styleId="3">
    <w:name w:val="heading 3"/>
    <w:basedOn w:val="a"/>
    <w:uiPriority w:val="1"/>
    <w:qFormat/>
    <w:pPr>
      <w:spacing w:before="90"/>
      <w:ind w:left="260"/>
      <w:outlineLvl w:val="2"/>
    </w:pPr>
    <w:rPr>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4"/>
      <w:szCs w:val="24"/>
    </w:rPr>
  </w:style>
  <w:style w:type="paragraph" w:styleId="a4">
    <w:name w:val="List Paragraph"/>
    <w:aliases w:val="List Paragraph1,List1,List Paragraph11,List Paragraph111,ПАРАГРАФ,Colorful List - Accent 11,List Paragraph1111"/>
    <w:basedOn w:val="a"/>
    <w:link w:val="a5"/>
    <w:qFormat/>
    <w:pPr>
      <w:ind w:left="260"/>
    </w:pPr>
  </w:style>
  <w:style w:type="paragraph" w:customStyle="1" w:styleId="TableParagraph">
    <w:name w:val="Table Paragraph"/>
    <w:basedOn w:val="a"/>
    <w:uiPriority w:val="1"/>
    <w:qFormat/>
  </w:style>
  <w:style w:type="character" w:styleId="a6">
    <w:name w:val="Hyperlink"/>
    <w:uiPriority w:val="99"/>
    <w:rsid w:val="00DA1F72"/>
    <w:rPr>
      <w:color w:val="0000FF"/>
      <w:u w:val="single"/>
    </w:rPr>
  </w:style>
  <w:style w:type="paragraph" w:styleId="a7">
    <w:name w:val="header"/>
    <w:basedOn w:val="a"/>
    <w:link w:val="a8"/>
    <w:uiPriority w:val="99"/>
    <w:unhideWhenUsed/>
    <w:rsid w:val="00BA633A"/>
    <w:pPr>
      <w:widowControl/>
      <w:tabs>
        <w:tab w:val="center" w:pos="4536"/>
        <w:tab w:val="right" w:pos="9072"/>
      </w:tabs>
      <w:autoSpaceDE/>
      <w:autoSpaceDN/>
    </w:pPr>
    <w:rPr>
      <w:rFonts w:asciiTheme="minorHAnsi" w:eastAsiaTheme="minorHAnsi" w:hAnsiTheme="minorHAnsi" w:cstheme="minorBidi"/>
      <w:lang w:eastAsia="en-US" w:bidi="ar-SA"/>
    </w:rPr>
  </w:style>
  <w:style w:type="character" w:customStyle="1" w:styleId="a8">
    <w:name w:val="Горен колонтитул Знак"/>
    <w:basedOn w:val="a0"/>
    <w:link w:val="a7"/>
    <w:uiPriority w:val="99"/>
    <w:rsid w:val="00BA633A"/>
    <w:rPr>
      <w:lang w:val="bg-BG"/>
    </w:rPr>
  </w:style>
  <w:style w:type="table" w:styleId="a9">
    <w:name w:val="Table Grid"/>
    <w:basedOn w:val="a1"/>
    <w:rsid w:val="00BA633A"/>
    <w:pPr>
      <w:widowControl/>
      <w:autoSpaceDE/>
      <w:autoSpaceDN/>
    </w:pPr>
    <w:rPr>
      <w:rFonts w:ascii="Times New Roman" w:eastAsia="Times New Roman" w:hAnsi="Times New Roman" w:cs="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aliases w:val="Podrozdział,stile 1,Footnote1,Footnote2,Footnote3,Footnote4,Footnote5,Footnote6,Footnote7,Footnote8,Footnote9,Footnote10,Footnote11,Footnote21,Footnote31,Footnote41,Footnote51,Footnote61,Footnote71,Footnote81,Footnote91,single spa, Car C"/>
    <w:basedOn w:val="a"/>
    <w:link w:val="ab"/>
    <w:uiPriority w:val="99"/>
    <w:unhideWhenUsed/>
    <w:rsid w:val="00206907"/>
    <w:pPr>
      <w:widowControl/>
      <w:autoSpaceDE/>
      <w:autoSpaceDN/>
    </w:pPr>
    <w:rPr>
      <w:rFonts w:asciiTheme="minorHAnsi" w:eastAsiaTheme="minorHAnsi" w:hAnsiTheme="minorHAnsi" w:cstheme="minorBidi"/>
      <w:sz w:val="20"/>
      <w:szCs w:val="20"/>
      <w:lang w:eastAsia="en-US" w:bidi="ar-SA"/>
    </w:rPr>
  </w:style>
  <w:style w:type="character" w:customStyle="1" w:styleId="ab">
    <w:name w:val="Текст под линия Знак"/>
    <w:aliases w:val="Podrozdział Знак,stile 1 Знак,Footnote1 Знак,Footnote2 Знак,Footnote3 Знак,Footnote4 Знак,Footnote5 Знак,Footnote6 Знак,Footnote7 Знак,Footnote8 Знак,Footnote9 Знак,Footnote10 Знак,Footnote11 Знак,Footnote21 Знак,Footnote31 Знак"/>
    <w:basedOn w:val="a0"/>
    <w:link w:val="aa"/>
    <w:uiPriority w:val="99"/>
    <w:rsid w:val="00206907"/>
    <w:rPr>
      <w:sz w:val="20"/>
      <w:szCs w:val="20"/>
      <w:lang w:val="bg-BG"/>
    </w:rPr>
  </w:style>
  <w:style w:type="character" w:styleId="ac">
    <w:name w:val="footnote reference"/>
    <w:aliases w:val="Footnote symbol,Appel note de bas de p,SUPERS,Nota,(NECG) Footnote Reference,Voetnootverwijzing,Footnote Reference Superscript,BVI fnr,Lábjegyzet-hivatkozás,L?bjegyzet-hivatkoz?s,Char1 Char Char Char Char,ftref,Fussnot"/>
    <w:basedOn w:val="a0"/>
    <w:unhideWhenUsed/>
    <w:rsid w:val="00206907"/>
    <w:rPr>
      <w:vertAlign w:val="superscript"/>
    </w:rPr>
  </w:style>
  <w:style w:type="paragraph" w:customStyle="1" w:styleId="Default">
    <w:name w:val="Default"/>
    <w:rsid w:val="00206907"/>
    <w:pPr>
      <w:widowControl/>
      <w:suppressAutoHyphens/>
      <w:autoSpaceDE/>
      <w:autoSpaceDN/>
    </w:pPr>
    <w:rPr>
      <w:rFonts w:ascii="Times New Roman" w:eastAsia="Calibri" w:hAnsi="Times New Roman" w:cs="Times New Roman"/>
      <w:color w:val="000000"/>
      <w:sz w:val="24"/>
      <w:szCs w:val="24"/>
      <w:lang w:eastAsia="zh-CN"/>
    </w:rPr>
  </w:style>
  <w:style w:type="character" w:customStyle="1" w:styleId="ad">
    <w:name w:val="Знаци за бележки под линия"/>
    <w:rsid w:val="00B52951"/>
    <w:rPr>
      <w:vertAlign w:val="superscript"/>
    </w:rPr>
  </w:style>
  <w:style w:type="character" w:customStyle="1" w:styleId="a5">
    <w:name w:val="Списък на абзаци Знак"/>
    <w:aliases w:val="List Paragraph1 Знак,List1 Знак,List Paragraph11 Знак,List Paragraph111 Знак,ПАРАГРАФ Знак,Colorful List - Accent 11 Знак,List Paragraph1111 Знак"/>
    <w:link w:val="a4"/>
    <w:qFormat/>
    <w:locked/>
    <w:rsid w:val="00DE54BD"/>
    <w:rPr>
      <w:rFonts w:ascii="Times New Roman" w:eastAsia="Times New Roman" w:hAnsi="Times New Roman" w:cs="Times New Roman"/>
      <w:lang w:val="bg-BG" w:eastAsia="bg-BG" w:bidi="bg-BG"/>
    </w:rPr>
  </w:style>
  <w:style w:type="paragraph" w:styleId="ae">
    <w:name w:val="footer"/>
    <w:basedOn w:val="a"/>
    <w:link w:val="af"/>
    <w:uiPriority w:val="99"/>
    <w:unhideWhenUsed/>
    <w:rsid w:val="00D27637"/>
    <w:pPr>
      <w:widowControl/>
      <w:tabs>
        <w:tab w:val="center" w:pos="4536"/>
        <w:tab w:val="right" w:pos="9072"/>
      </w:tabs>
      <w:autoSpaceDE/>
      <w:autoSpaceDN/>
    </w:pPr>
    <w:rPr>
      <w:rFonts w:asciiTheme="minorHAnsi" w:eastAsiaTheme="minorHAnsi" w:hAnsiTheme="minorHAnsi" w:cstheme="minorBidi"/>
      <w:lang w:eastAsia="en-US" w:bidi="ar-SA"/>
    </w:rPr>
  </w:style>
  <w:style w:type="character" w:customStyle="1" w:styleId="af">
    <w:name w:val="Долен колонтитул Знак"/>
    <w:basedOn w:val="a0"/>
    <w:link w:val="ae"/>
    <w:uiPriority w:val="99"/>
    <w:rsid w:val="00D27637"/>
    <w:rPr>
      <w:lang w:val="bg-BG"/>
    </w:rPr>
  </w:style>
  <w:style w:type="character" w:styleId="af0">
    <w:name w:val="annotation reference"/>
    <w:basedOn w:val="a0"/>
    <w:uiPriority w:val="99"/>
    <w:semiHidden/>
    <w:unhideWhenUsed/>
    <w:rsid w:val="00CF4153"/>
    <w:rPr>
      <w:sz w:val="16"/>
      <w:szCs w:val="16"/>
    </w:rPr>
  </w:style>
  <w:style w:type="paragraph" w:styleId="af1">
    <w:name w:val="annotation text"/>
    <w:basedOn w:val="a"/>
    <w:link w:val="af2"/>
    <w:uiPriority w:val="99"/>
    <w:semiHidden/>
    <w:unhideWhenUsed/>
    <w:rsid w:val="00CF4153"/>
    <w:rPr>
      <w:sz w:val="20"/>
      <w:szCs w:val="20"/>
    </w:rPr>
  </w:style>
  <w:style w:type="character" w:customStyle="1" w:styleId="af2">
    <w:name w:val="Текст на коментар Знак"/>
    <w:basedOn w:val="a0"/>
    <w:link w:val="af1"/>
    <w:uiPriority w:val="99"/>
    <w:semiHidden/>
    <w:rsid w:val="00CF4153"/>
    <w:rPr>
      <w:rFonts w:ascii="Times New Roman" w:eastAsia="Times New Roman" w:hAnsi="Times New Roman" w:cs="Times New Roman"/>
      <w:sz w:val="20"/>
      <w:szCs w:val="20"/>
      <w:lang w:val="bg-BG" w:eastAsia="bg-BG" w:bidi="bg-BG"/>
    </w:rPr>
  </w:style>
  <w:style w:type="paragraph" w:styleId="af3">
    <w:name w:val="annotation subject"/>
    <w:basedOn w:val="af1"/>
    <w:next w:val="af1"/>
    <w:link w:val="af4"/>
    <w:uiPriority w:val="99"/>
    <w:semiHidden/>
    <w:unhideWhenUsed/>
    <w:rsid w:val="00CF4153"/>
    <w:rPr>
      <w:b/>
      <w:bCs/>
    </w:rPr>
  </w:style>
  <w:style w:type="character" w:customStyle="1" w:styleId="af4">
    <w:name w:val="Предмет на коментар Знак"/>
    <w:basedOn w:val="af2"/>
    <w:link w:val="af3"/>
    <w:uiPriority w:val="99"/>
    <w:semiHidden/>
    <w:rsid w:val="00CF4153"/>
    <w:rPr>
      <w:rFonts w:ascii="Times New Roman" w:eastAsia="Times New Roman" w:hAnsi="Times New Roman" w:cs="Times New Roman"/>
      <w:b/>
      <w:bCs/>
      <w:sz w:val="20"/>
      <w:szCs w:val="20"/>
      <w:lang w:val="bg-BG" w:eastAsia="bg-BG" w:bidi="bg-BG"/>
    </w:rPr>
  </w:style>
  <w:style w:type="paragraph" w:styleId="af5">
    <w:name w:val="Revision"/>
    <w:hidden/>
    <w:uiPriority w:val="99"/>
    <w:semiHidden/>
    <w:rsid w:val="00CF4153"/>
    <w:pPr>
      <w:widowControl/>
      <w:autoSpaceDE/>
      <w:autoSpaceDN/>
    </w:pPr>
    <w:rPr>
      <w:rFonts w:ascii="Times New Roman" w:eastAsia="Times New Roman" w:hAnsi="Times New Roman" w:cs="Times New Roman"/>
      <w:lang w:val="bg-BG" w:eastAsia="bg-BG" w:bidi="bg-BG"/>
    </w:rPr>
  </w:style>
  <w:style w:type="paragraph" w:styleId="af6">
    <w:name w:val="Balloon Text"/>
    <w:basedOn w:val="a"/>
    <w:link w:val="af7"/>
    <w:uiPriority w:val="99"/>
    <w:semiHidden/>
    <w:unhideWhenUsed/>
    <w:rsid w:val="00CF4153"/>
    <w:rPr>
      <w:rFonts w:ascii="Segoe UI" w:hAnsi="Segoe UI" w:cs="Segoe UI"/>
      <w:sz w:val="18"/>
      <w:szCs w:val="18"/>
    </w:rPr>
  </w:style>
  <w:style w:type="character" w:customStyle="1" w:styleId="af7">
    <w:name w:val="Изнесен текст Знак"/>
    <w:basedOn w:val="a0"/>
    <w:link w:val="af6"/>
    <w:uiPriority w:val="99"/>
    <w:semiHidden/>
    <w:rsid w:val="00CF4153"/>
    <w:rPr>
      <w:rFonts w:ascii="Segoe UI" w:eastAsia="Times New Roman" w:hAnsi="Segoe UI" w:cs="Segoe UI"/>
      <w:sz w:val="18"/>
      <w:szCs w:val="18"/>
      <w:lang w:val="bg-BG"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opic.bg/informatsiya-i-publichnost/grafichni-iziskvaniy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ateaid.minfin.b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ig-struma.eu/" TargetMode="External"/><Relationship Id="rId4" Type="http://schemas.openxmlformats.org/officeDocument/2006/relationships/webSettings" Target="webSettings.xml"/><Relationship Id="rId9" Type="http://schemas.openxmlformats.org/officeDocument/2006/relationships/hyperlink" Target="https://eumis2020.government.b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2911</Words>
  <Characters>16598</Characters>
  <Application>Microsoft Office Word</Application>
  <DocSecurity>0</DocSecurity>
  <Lines>138</Lines>
  <Paragraphs>38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19471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Radi</cp:lastModifiedBy>
  <cp:revision>5</cp:revision>
  <dcterms:created xsi:type="dcterms:W3CDTF">2020-11-26T11:08:00Z</dcterms:created>
  <dcterms:modified xsi:type="dcterms:W3CDTF">2020-11-27T12:50:00Z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2019-05-15T00:00:00Z</vt:filetime>
  </property>
  <property fmtid="{D5CDD505-2E9C-101B-9397-08002B2CF9AE}" pid="3" name="Creator">
    <vt:lpwstr>Microsoft® Word 2010</vt:lpwstr>
  </property>
  <property fmtid="{D5CDD505-2E9C-101B-9397-08002B2CF9AE}" pid="4" name="LastSaved">
    <vt:filetime>2019-12-27T00:00:00Z</vt:filetime>
  </property>
</Properties>
</file>