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952" w:type="pct"/>
        <w:tblInd w:w="-885" w:type="dxa"/>
        <w:tblLook w:val="01E0" w:firstRow="1" w:lastRow="1" w:firstColumn="1" w:lastColumn="1" w:noHBand="0" w:noVBand="0"/>
      </w:tblPr>
      <w:tblGrid>
        <w:gridCol w:w="3828"/>
        <w:gridCol w:w="7228"/>
      </w:tblGrid>
      <w:tr w:rsidR="00775063" w:rsidRPr="00775063" w:rsidTr="009B3888">
        <w:tc>
          <w:tcPr>
            <w:tcW w:w="3828" w:type="dxa"/>
          </w:tcPr>
          <w:p w:rsidR="006701A2" w:rsidRPr="00775063" w:rsidRDefault="006701A2" w:rsidP="00182A1F">
            <w:pPr>
              <w:spacing w:before="120" w:after="120"/>
              <w:jc w:val="both"/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  <w:t xml:space="preserve">Основание </w:t>
            </w:r>
          </w:p>
        </w:tc>
        <w:tc>
          <w:tcPr>
            <w:tcW w:w="7228" w:type="dxa"/>
          </w:tcPr>
          <w:p w:rsidR="005E01A0" w:rsidRPr="00775063" w:rsidRDefault="005E01A0" w:rsidP="00BF5D70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Методология за финансиране </w:t>
            </w:r>
            <w:r w:rsidRPr="00775063">
              <w:rPr>
                <w:rFonts w:ascii="Georgia" w:hAnsi="Georgia"/>
                <w:b/>
                <w:sz w:val="22"/>
                <w:szCs w:val="22"/>
                <w:lang w:val="bg-BG" w:eastAsia="bg-BG"/>
              </w:rPr>
              <w:t>с единна ставка</w:t>
            </w:r>
            <w:r w:rsidR="004234C0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, определена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чрез прилагане на процент към една или няколко определени категории разходи</w:t>
            </w:r>
            <w:r w:rsidR="00B650F8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,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съгласно чл. 67 (1)</w:t>
            </w:r>
            <w:r w:rsidR="006526CC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,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</w:t>
            </w:r>
            <w:r w:rsidR="006526CC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точка 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г.</w:t>
            </w:r>
            <w:r w:rsidR="006526CC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, чл. 67 (5), </w:t>
            </w:r>
            <w:r w:rsidR="00B650F8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точка а</w:t>
            </w:r>
            <w:r w:rsidR="006526CC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, (i)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и</w:t>
            </w:r>
            <w:r w:rsidR="006526CC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(ii) и 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чл. 68 </w:t>
            </w:r>
            <w:r w:rsidR="00A91065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буква (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а</w:t>
            </w:r>
            <w:r w:rsidR="00A91065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)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от Регламент 1303/2013 г.</w:t>
            </w:r>
          </w:p>
        </w:tc>
      </w:tr>
      <w:tr w:rsidR="00775063" w:rsidRPr="00775063" w:rsidTr="009B3888">
        <w:tc>
          <w:tcPr>
            <w:tcW w:w="3828" w:type="dxa"/>
          </w:tcPr>
          <w:p w:rsidR="00553B0D" w:rsidRPr="00775063" w:rsidRDefault="00553B0D" w:rsidP="00182A1F">
            <w:pPr>
              <w:spacing w:before="120" w:after="120"/>
              <w:jc w:val="both"/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  <w:t>Тип на операцията</w:t>
            </w:r>
          </w:p>
        </w:tc>
        <w:tc>
          <w:tcPr>
            <w:tcW w:w="7228" w:type="dxa"/>
          </w:tcPr>
          <w:p w:rsidR="00553B0D" w:rsidRPr="00775063" w:rsidRDefault="00E66C39" w:rsidP="009B3888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en-US" w:eastAsia="bg-BG"/>
              </w:rPr>
              <w:t>O</w:t>
            </w:r>
            <w:r w:rsidR="009529A5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перации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за предоставяне на безвъзмездна финансова помощ чрез подбор</w:t>
            </w:r>
            <w:r w:rsidR="00F87D71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на проектни предложения</w:t>
            </w:r>
            <w:r w:rsidR="00084A1F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,</w:t>
            </w:r>
            <w:r w:rsidR="009529A5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за които съгласно критериите за операция има предвидени непреки разходи.</w:t>
            </w:r>
          </w:p>
          <w:p w:rsidR="009529A5" w:rsidRPr="00775063" w:rsidRDefault="009529A5" w:rsidP="009529A5">
            <w:pPr>
              <w:spacing w:before="120" w:after="120"/>
              <w:jc w:val="both"/>
              <w:rPr>
                <w:lang w:val="bg-BG"/>
              </w:rPr>
            </w:pPr>
            <w:r w:rsidRPr="00775063">
              <w:rPr>
                <w:lang w:val="bg-BG"/>
              </w:rPr>
              <w:t>"Непреки разходи" по смисъла на § 1 от Допълнителните разпоредби на 189/2016</w:t>
            </w:r>
            <w:r w:rsidR="00084A1F" w:rsidRPr="00775063">
              <w:rPr>
                <w:lang w:val="bg-BG"/>
              </w:rPr>
              <w:t xml:space="preserve"> г.</w:t>
            </w:r>
            <w:r w:rsidRPr="00775063">
              <w:rPr>
                <w:lang w:val="bg-BG"/>
              </w:rPr>
              <w:t xml:space="preserve"> са</w:t>
            </w:r>
            <w:r w:rsidR="00084A1F" w:rsidRPr="00775063">
              <w:rPr>
                <w:lang w:val="bg-BG"/>
              </w:rPr>
              <w:t xml:space="preserve"> </w:t>
            </w:r>
            <w:r w:rsidRPr="00775063">
              <w:rPr>
                <w:lang w:val="bg-BG"/>
              </w:rPr>
              <w:t>разходите, които са свързани с изпълнението на дейности, предвидени в проекта, които не допринасят пряко за постигането на неговите цели и резултати, но са необходими за неговото цялостно администриране, управление, оценка и добро финансово изпълнение.</w:t>
            </w:r>
          </w:p>
          <w:p w:rsidR="00084A1F" w:rsidRPr="00775063" w:rsidRDefault="00084A1F" w:rsidP="00084A1F">
            <w:pPr>
              <w:spacing w:before="120" w:after="120"/>
              <w:jc w:val="both"/>
              <w:rPr>
                <w:lang w:val="bg-BG"/>
              </w:rPr>
            </w:pPr>
            <w:r w:rsidRPr="00775063">
              <w:rPr>
                <w:lang w:val="bg-BG"/>
              </w:rPr>
              <w:t>Такива разходи включват разходи, за които е трудно да се определи точно размерът, който е относим към конкретната дейност.</w:t>
            </w:r>
          </w:p>
        </w:tc>
      </w:tr>
      <w:tr w:rsidR="00775063" w:rsidRPr="00775063" w:rsidTr="009B3888">
        <w:tc>
          <w:tcPr>
            <w:tcW w:w="3828" w:type="dxa"/>
          </w:tcPr>
          <w:p w:rsidR="00553B0D" w:rsidRPr="00775063" w:rsidRDefault="00553B0D" w:rsidP="00182A1F">
            <w:pPr>
              <w:spacing w:before="120" w:after="120"/>
              <w:jc w:val="both"/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  <w:t>Приоритетна ос</w:t>
            </w:r>
          </w:p>
        </w:tc>
        <w:tc>
          <w:tcPr>
            <w:tcW w:w="7228" w:type="dxa"/>
          </w:tcPr>
          <w:p w:rsidR="00553B0D" w:rsidRPr="00775063" w:rsidRDefault="00553B0D" w:rsidP="00182A1F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Приоритетна ос № 1 „Подобряване достъпа до заетост и качеството на работните места”</w:t>
            </w:r>
          </w:p>
          <w:p w:rsidR="00182A1F" w:rsidRPr="00775063" w:rsidRDefault="00182A1F" w:rsidP="00182A1F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Приоритетна ос № 2 „</w:t>
            </w:r>
            <w:r w:rsidR="005F6969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Намаляване на бедността и насърчаване на социалното включване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”</w:t>
            </w:r>
          </w:p>
          <w:p w:rsidR="005F6969" w:rsidRPr="00775063" w:rsidRDefault="005F6969" w:rsidP="005F6969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Приоритетна ос № 3 „Модернизация на институциите в сферата на соци</w:t>
            </w:r>
            <w:r w:rsidR="00B650F8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алното включване, здравеопазва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нето, равните възможности и недискриминацията и условията на труд”</w:t>
            </w:r>
            <w:r w:rsidR="00D36739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(ако е приложимо)</w:t>
            </w:r>
          </w:p>
          <w:p w:rsidR="00D36739" w:rsidRPr="00775063" w:rsidRDefault="005F6969" w:rsidP="00B444F5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Приоритетна ос № 4 „Транснационално Сътрудничество”</w:t>
            </w:r>
            <w:r w:rsidR="00D36739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(ако е приложимо)</w:t>
            </w:r>
          </w:p>
        </w:tc>
      </w:tr>
      <w:tr w:rsidR="00775063" w:rsidRPr="00775063" w:rsidTr="009B3888">
        <w:tc>
          <w:tcPr>
            <w:tcW w:w="3828" w:type="dxa"/>
          </w:tcPr>
          <w:p w:rsidR="00553B0D" w:rsidRPr="00775063" w:rsidRDefault="00553B0D" w:rsidP="00182A1F">
            <w:pPr>
              <w:spacing w:before="120" w:after="120"/>
              <w:jc w:val="both"/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  <w:t>Описание на дейностите (в съответствие с текста на ОП РЧР 2014-2020)</w:t>
            </w:r>
          </w:p>
        </w:tc>
        <w:tc>
          <w:tcPr>
            <w:tcW w:w="7228" w:type="dxa"/>
          </w:tcPr>
          <w:p w:rsidR="00553B0D" w:rsidRPr="00775063" w:rsidRDefault="00EB4BF8" w:rsidP="00EB4BF8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Не е приложимо</w:t>
            </w:r>
          </w:p>
        </w:tc>
      </w:tr>
      <w:tr w:rsidR="00775063" w:rsidRPr="00775063" w:rsidTr="009B3888">
        <w:tc>
          <w:tcPr>
            <w:tcW w:w="3828" w:type="dxa"/>
          </w:tcPr>
          <w:p w:rsidR="00553B0D" w:rsidRPr="00775063" w:rsidRDefault="00553B0D" w:rsidP="00182A1F">
            <w:pPr>
              <w:spacing w:before="120" w:after="120"/>
              <w:jc w:val="both"/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  <w:t>Типове бенефициенти</w:t>
            </w:r>
          </w:p>
        </w:tc>
        <w:tc>
          <w:tcPr>
            <w:tcW w:w="7228" w:type="dxa"/>
          </w:tcPr>
          <w:p w:rsidR="00553B0D" w:rsidRPr="00775063" w:rsidRDefault="00E66C39" w:rsidP="00323AB0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Допустими </w:t>
            </w:r>
            <w:r w:rsidR="00450BF1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бенефициенти по ОП РЧР 2014-2020</w:t>
            </w:r>
            <w:r w:rsidR="000767A7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,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</w:t>
            </w:r>
            <w:r w:rsidR="00323AB0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на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които се </w:t>
            </w:r>
            <w:r w:rsidR="000767A7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предоставя безвъзмездна финансова помощ чрез подбор на проектни предложения.</w:t>
            </w:r>
          </w:p>
        </w:tc>
      </w:tr>
      <w:tr w:rsidR="00775063" w:rsidRPr="00775063" w:rsidTr="009B3888">
        <w:tc>
          <w:tcPr>
            <w:tcW w:w="3828" w:type="dxa"/>
          </w:tcPr>
          <w:p w:rsidR="00553B0D" w:rsidRPr="00775063" w:rsidRDefault="00553B0D" w:rsidP="00182A1F">
            <w:pPr>
              <w:spacing w:before="120" w:after="120"/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  <w:t>Вариант за опростено отчитане на разхода</w:t>
            </w:r>
          </w:p>
        </w:tc>
        <w:tc>
          <w:tcPr>
            <w:tcW w:w="7228" w:type="dxa"/>
          </w:tcPr>
          <w:p w:rsidR="00553B0D" w:rsidRPr="00775063" w:rsidRDefault="0088707D" w:rsidP="009A491D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Финансиране с единна ставка, определен</w:t>
            </w:r>
            <w:r w:rsidR="009A491D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а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чрез прилагане на процент към една или няколко определени категории разходи</w:t>
            </w:r>
          </w:p>
        </w:tc>
      </w:tr>
      <w:tr w:rsidR="00775063" w:rsidRPr="00775063" w:rsidTr="009B3888">
        <w:tc>
          <w:tcPr>
            <w:tcW w:w="3828" w:type="dxa"/>
          </w:tcPr>
          <w:p w:rsidR="00553B0D" w:rsidRPr="00775063" w:rsidRDefault="00553B0D" w:rsidP="00182A1F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>Дефиниция на разхода</w:t>
            </w:r>
          </w:p>
        </w:tc>
        <w:tc>
          <w:tcPr>
            <w:tcW w:w="7228" w:type="dxa"/>
          </w:tcPr>
          <w:p w:rsidR="00553B0D" w:rsidRPr="00775063" w:rsidRDefault="009512D3" w:rsidP="00553B0D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Разходи за организация и управление</w:t>
            </w:r>
          </w:p>
          <w:p w:rsidR="009512D3" w:rsidRPr="00775063" w:rsidRDefault="000A3FA0" w:rsidP="00553B0D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lang w:val="bg-BG"/>
              </w:rPr>
              <w:t>"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Разходи за организация и управление</w:t>
            </w:r>
            <w:r w:rsidRPr="00775063">
              <w:rPr>
                <w:lang w:val="bg-BG"/>
              </w:rPr>
              <w:t xml:space="preserve">" по смисъла на т. 9, § 1 от Допълнителните разпоредби на </w:t>
            </w:r>
            <w:r w:rsidR="0039793A" w:rsidRPr="00775063">
              <w:rPr>
                <w:lang w:val="bg-BG"/>
              </w:rPr>
              <w:t xml:space="preserve">ПМС </w:t>
            </w:r>
            <w:r w:rsidRPr="00775063">
              <w:rPr>
                <w:lang w:val="bg-BG"/>
              </w:rPr>
              <w:t>189/2016 г. са непреки разходи, свързани с възнагражденията на персонала по администриране на проекта - ръководител на проект, технически сътрудник, счетоводител и друг експертен или технически персонал, както и административните разходи, свързани с управлението на проекта, посочени за допустими в документите по чл. 26,</w:t>
            </w:r>
            <w:r w:rsidR="00CF2FE2" w:rsidRPr="00775063">
              <w:rPr>
                <w:lang w:val="bg-BG"/>
              </w:rPr>
              <w:t xml:space="preserve"> </w:t>
            </w:r>
            <w:r w:rsidRPr="00775063">
              <w:rPr>
                <w:lang w:val="bg-BG"/>
              </w:rPr>
              <w:t>ал.1 ЗУСЕСИФ.</w:t>
            </w:r>
          </w:p>
        </w:tc>
      </w:tr>
      <w:tr w:rsidR="00775063" w:rsidRPr="00775063" w:rsidTr="009B3888">
        <w:tc>
          <w:tcPr>
            <w:tcW w:w="3828" w:type="dxa"/>
          </w:tcPr>
          <w:p w:rsidR="00553B0D" w:rsidRPr="00775063" w:rsidRDefault="00553B0D" w:rsidP="00182A1F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lastRenderedPageBreak/>
              <w:t>Единица мярка</w:t>
            </w:r>
          </w:p>
        </w:tc>
        <w:tc>
          <w:tcPr>
            <w:tcW w:w="7228" w:type="dxa"/>
          </w:tcPr>
          <w:p w:rsidR="00553B0D" w:rsidRPr="00775063" w:rsidRDefault="009512D3" w:rsidP="00182A1F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Процент</w:t>
            </w:r>
          </w:p>
        </w:tc>
      </w:tr>
      <w:tr w:rsidR="00775063" w:rsidRPr="00775063" w:rsidTr="009B3888">
        <w:tc>
          <w:tcPr>
            <w:tcW w:w="3828" w:type="dxa"/>
          </w:tcPr>
          <w:p w:rsidR="00553B0D" w:rsidRPr="00775063" w:rsidRDefault="00553B0D" w:rsidP="00553B0D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>Основание за определяне на размера на разхода</w:t>
            </w:r>
          </w:p>
        </w:tc>
        <w:tc>
          <w:tcPr>
            <w:tcW w:w="7228" w:type="dxa"/>
          </w:tcPr>
          <w:p w:rsidR="00821661" w:rsidRPr="00775063" w:rsidRDefault="00821661" w:rsidP="00821661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Чл. 67 (5) </w:t>
            </w:r>
            <w:r w:rsidR="006701A2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от Рег</w:t>
            </w:r>
            <w:r w:rsidR="00583E6B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ламент 1303/2013 г.</w:t>
            </w:r>
            <w:r w:rsidR="00850A49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:</w:t>
            </w:r>
          </w:p>
          <w:p w:rsidR="00850A49" w:rsidRPr="00775063" w:rsidRDefault="00850A49" w:rsidP="00821661">
            <w:pPr>
              <w:spacing w:before="120" w:after="120"/>
              <w:jc w:val="both"/>
              <w:rPr>
                <w:rFonts w:ascii="Georgia" w:hAnsi="Georgia"/>
                <w:b/>
                <w:i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b/>
                <w:i/>
                <w:sz w:val="22"/>
                <w:szCs w:val="22"/>
                <w:lang w:val="bg-BG" w:eastAsia="bg-BG"/>
              </w:rPr>
              <w:t xml:space="preserve">(а) </w:t>
            </w:r>
            <w:r w:rsidR="00376ACF" w:rsidRPr="00775063">
              <w:rPr>
                <w:rFonts w:ascii="Georgia" w:hAnsi="Georgia"/>
                <w:b/>
                <w:i/>
                <w:sz w:val="22"/>
                <w:szCs w:val="22"/>
                <w:lang w:val="bg-BG" w:eastAsia="bg-BG"/>
              </w:rPr>
              <w:t>К</w:t>
            </w:r>
            <w:r w:rsidR="00821661" w:rsidRPr="00775063">
              <w:rPr>
                <w:rFonts w:ascii="Georgia" w:hAnsi="Georgia"/>
                <w:b/>
                <w:i/>
                <w:sz w:val="22"/>
                <w:szCs w:val="22"/>
                <w:lang w:val="bg-BG" w:eastAsia="bg-BG"/>
              </w:rPr>
              <w:t>оректен, справедлив и проверим метод на изчисление, основаващ се на</w:t>
            </w:r>
            <w:r w:rsidRPr="00775063">
              <w:rPr>
                <w:rFonts w:ascii="Georgia" w:hAnsi="Georgia"/>
                <w:b/>
                <w:i/>
                <w:sz w:val="22"/>
                <w:szCs w:val="22"/>
                <w:lang w:val="bg-BG" w:eastAsia="bg-BG"/>
              </w:rPr>
              <w:t>:</w:t>
            </w:r>
          </w:p>
          <w:p w:rsidR="00821661" w:rsidRPr="00775063" w:rsidRDefault="00821661" w:rsidP="00821661">
            <w:pPr>
              <w:spacing w:before="120" w:after="120"/>
              <w:jc w:val="both"/>
              <w:rPr>
                <w:rFonts w:ascii="Georgia" w:hAnsi="Georgia"/>
                <w:i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b/>
                <w:i/>
                <w:sz w:val="22"/>
                <w:szCs w:val="22"/>
                <w:lang w:val="bg-BG" w:eastAsia="bg-BG"/>
              </w:rPr>
              <w:t xml:space="preserve"> </w:t>
            </w:r>
            <w:r w:rsidR="00850A49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(i) 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статистически данни</w:t>
            </w:r>
            <w:r w:rsidR="00422E11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, </w:t>
            </w:r>
            <w:r w:rsidRPr="00775063">
              <w:rPr>
                <w:rFonts w:ascii="Georgia" w:hAnsi="Georgia"/>
                <w:b/>
                <w:sz w:val="22"/>
                <w:szCs w:val="22"/>
                <w:u w:val="single"/>
                <w:lang w:val="bg-BG" w:eastAsia="bg-BG"/>
              </w:rPr>
              <w:t>друга обективна информация</w:t>
            </w:r>
            <w:r w:rsidR="00422E11" w:rsidRPr="00775063">
              <w:rPr>
                <w:rFonts w:ascii="Georgia" w:hAnsi="Georgia"/>
                <w:sz w:val="22"/>
                <w:szCs w:val="22"/>
                <w:u w:val="single"/>
                <w:lang w:val="bg-BG" w:eastAsia="bg-BG"/>
              </w:rPr>
              <w:t xml:space="preserve"> </w:t>
            </w:r>
            <w:r w:rsidR="00422E11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или експертна оценка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</w:t>
            </w:r>
            <w:r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(в настоящия случай </w:t>
            </w:r>
            <w:r w:rsidR="00277837"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непреки разходи, определени в </w:t>
            </w:r>
            <w:r w:rsidR="00F60B16"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максимален </w:t>
            </w:r>
            <w:r w:rsidR="00277837"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процент </w:t>
            </w:r>
            <w:r w:rsidR="00F60B16"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в размер </w:t>
            </w:r>
            <w:r w:rsidR="002839A0" w:rsidRPr="00775063">
              <w:rPr>
                <w:rFonts w:ascii="Georgia" w:hAnsi="Georgia"/>
                <w:i/>
                <w:sz w:val="22"/>
                <w:szCs w:val="22"/>
                <w:u w:val="single"/>
                <w:lang w:val="bg-BG" w:eastAsia="bg-BG"/>
              </w:rPr>
              <w:t>до</w:t>
            </w:r>
            <w:r w:rsidR="00F60B16" w:rsidRPr="00775063">
              <w:rPr>
                <w:rFonts w:ascii="Georgia" w:hAnsi="Georgia"/>
                <w:i/>
                <w:sz w:val="22"/>
                <w:szCs w:val="22"/>
                <w:u w:val="single"/>
                <w:lang w:val="bg-BG" w:eastAsia="bg-BG"/>
              </w:rPr>
              <w:t xml:space="preserve"> 10 % </w:t>
            </w:r>
            <w:r w:rsidR="00277837" w:rsidRPr="00775063">
              <w:rPr>
                <w:rFonts w:ascii="Georgia" w:hAnsi="Georgia"/>
                <w:i/>
                <w:sz w:val="22"/>
                <w:szCs w:val="22"/>
                <w:u w:val="single"/>
                <w:lang w:val="bg-BG" w:eastAsia="bg-BG"/>
              </w:rPr>
              <w:t>от допустимите</w:t>
            </w:r>
            <w:r w:rsidR="00F60B16" w:rsidRPr="00775063">
              <w:rPr>
                <w:rFonts w:ascii="Georgia" w:hAnsi="Georgia"/>
                <w:i/>
                <w:sz w:val="22"/>
                <w:szCs w:val="22"/>
                <w:u w:val="single"/>
                <w:lang w:val="bg-BG" w:eastAsia="bg-BG"/>
              </w:rPr>
              <w:t xml:space="preserve"> преки разходи </w:t>
            </w:r>
            <w:r w:rsidR="00F60B16"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>през програмен пе</w:t>
            </w:r>
            <w:r w:rsidR="00277837"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>риод 2007-2013</w:t>
            </w:r>
            <w:r w:rsidR="00F60B16"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 на база следните нормативи документи: ПМС 180/2007,</w:t>
            </w:r>
            <w:r w:rsidR="00B44910"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 ПМС 62/2007</w:t>
            </w:r>
            <w:r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>).</w:t>
            </w:r>
          </w:p>
          <w:p w:rsidR="002839A0" w:rsidRPr="00775063" w:rsidRDefault="007349B1" w:rsidP="00821661">
            <w:pPr>
              <w:spacing w:before="120" w:after="120"/>
              <w:jc w:val="both"/>
              <w:rPr>
                <w:rFonts w:ascii="Georgia" w:hAnsi="Georgia"/>
                <w:i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С изменение на нормативната уредба, </w:t>
            </w:r>
            <w:r w:rsidR="00AB757D"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>касаеща</w:t>
            </w:r>
            <w:r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 програмен период 2014-2020, разходите за организация и управление са определени в максимален размер </w:t>
            </w:r>
            <w:r w:rsidRPr="00775063">
              <w:rPr>
                <w:rFonts w:ascii="Georgia" w:hAnsi="Georgia"/>
                <w:i/>
                <w:sz w:val="22"/>
                <w:szCs w:val="22"/>
                <w:u w:val="single"/>
                <w:lang w:val="bg-BG" w:eastAsia="bg-BG"/>
              </w:rPr>
              <w:t>до 10 на сто от общите допустими разходи по проекта</w:t>
            </w:r>
            <w:r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>, съгласно чл. 7, ал.</w:t>
            </w:r>
            <w:r w:rsidR="00967B53"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 </w:t>
            </w:r>
            <w:r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>2, т. 4 от ПМС 189/2016</w:t>
            </w:r>
            <w:r w:rsidR="00967B53"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>, които са определени на база разходи, действително извършени и изплатени от Бенефициентите.</w:t>
            </w:r>
          </w:p>
          <w:p w:rsidR="00376ACF" w:rsidRPr="00775063" w:rsidRDefault="00376ACF" w:rsidP="00376ACF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Чл. 67 (5) а. (ii) от Регламент 1303/2013</w:t>
            </w:r>
            <w:r w:rsidR="005A31DB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г.</w:t>
            </w:r>
            <w:r w:rsidR="00850A49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:</w:t>
            </w:r>
          </w:p>
          <w:p w:rsidR="00376ACF" w:rsidRPr="00775063" w:rsidRDefault="00376ACF" w:rsidP="00376ACF">
            <w:pPr>
              <w:spacing w:before="120" w:after="120"/>
              <w:jc w:val="both"/>
              <w:rPr>
                <w:rFonts w:ascii="Georgia" w:hAnsi="Georgia"/>
                <w:b/>
                <w:i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b/>
                <w:i/>
                <w:sz w:val="22"/>
                <w:szCs w:val="22"/>
                <w:lang w:val="bg-BG" w:eastAsia="bg-BG"/>
              </w:rPr>
              <w:t>Проверени данни за минали периоди за отделните Бенефициенти.</w:t>
            </w:r>
          </w:p>
          <w:p w:rsidR="00D00783" w:rsidRPr="00775063" w:rsidRDefault="00575C9A" w:rsidP="00575C9A">
            <w:pPr>
              <w:pStyle w:val="ListParagraph"/>
              <w:spacing w:before="120" w:after="120"/>
              <w:ind w:left="0" w:firstLine="27"/>
              <w:jc w:val="both"/>
              <w:rPr>
                <w:rFonts w:ascii="Georgia" w:hAnsi="Georgia"/>
                <w:i/>
                <w:sz w:val="22"/>
                <w:szCs w:val="22"/>
                <w:u w:val="single"/>
                <w:lang w:val="bg-BG" w:eastAsia="bg-BG"/>
              </w:rPr>
            </w:pPr>
            <w:r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В програмен период 2007-2013 всички Бенефициенти по схеми за предоставяне на безвъзмездна финансова помощ са ограничавани на етап оценка на проектното предложение, както и на етап верификация на </w:t>
            </w:r>
            <w:r w:rsidR="00A5042E"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>отчетените разходи</w:t>
            </w:r>
            <w:r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, </w:t>
            </w:r>
            <w:r w:rsidR="009B1C48"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до максимално </w:t>
            </w:r>
            <w:r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>допустим</w:t>
            </w:r>
            <w:r w:rsidR="009B1C48"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>ия</w:t>
            </w:r>
            <w:r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 размер на разходите за организация и управление </w:t>
            </w:r>
            <w:r w:rsidR="00814679"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>(</w:t>
            </w:r>
            <w:r w:rsidR="00D931EA"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не повече от  </w:t>
            </w:r>
            <w:r w:rsidR="00814679" w:rsidRPr="00775063">
              <w:rPr>
                <w:rFonts w:ascii="Georgia" w:hAnsi="Georgia"/>
                <w:i/>
                <w:sz w:val="22"/>
                <w:szCs w:val="22"/>
                <w:u w:val="single"/>
                <w:lang w:val="bg-BG" w:eastAsia="bg-BG"/>
              </w:rPr>
              <w:t>10 % от допустимите преки разходи)</w:t>
            </w:r>
            <w:r w:rsidRPr="00775063">
              <w:rPr>
                <w:rFonts w:ascii="Georgia" w:hAnsi="Georgia"/>
                <w:i/>
                <w:sz w:val="22"/>
                <w:szCs w:val="22"/>
                <w:u w:val="single"/>
                <w:lang w:val="bg-BG" w:eastAsia="bg-BG"/>
              </w:rPr>
              <w:t xml:space="preserve">. </w:t>
            </w:r>
          </w:p>
          <w:p w:rsidR="00DD01B7" w:rsidRPr="00775063" w:rsidRDefault="00DD01B7" w:rsidP="00575C9A">
            <w:pPr>
              <w:pStyle w:val="ListParagraph"/>
              <w:spacing w:before="120" w:after="120"/>
              <w:ind w:left="0" w:firstLine="27"/>
              <w:jc w:val="both"/>
              <w:rPr>
                <w:rFonts w:ascii="Georgia" w:hAnsi="Georgia"/>
                <w:i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Проверените разходи </w:t>
            </w:r>
            <w:r w:rsidR="00921341"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от страна на отговорните органи </w:t>
            </w:r>
            <w:r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се базират на представени документи и счетоводни данни от </w:t>
            </w:r>
            <w:r w:rsidR="00D931EA"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Бенефициентите </w:t>
            </w:r>
            <w:r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за минали периоди за действително направени разходи по проекта. </w:t>
            </w:r>
          </w:p>
          <w:p w:rsidR="003B7C99" w:rsidRPr="00775063" w:rsidRDefault="003B7C99" w:rsidP="00575C9A">
            <w:pPr>
              <w:pStyle w:val="ListParagraph"/>
              <w:spacing w:before="120" w:after="120"/>
              <w:ind w:left="0" w:firstLine="27"/>
              <w:jc w:val="both"/>
              <w:rPr>
                <w:rFonts w:ascii="Georgia" w:hAnsi="Georgia"/>
                <w:i/>
                <w:sz w:val="22"/>
                <w:szCs w:val="22"/>
                <w:lang w:val="bg-BG" w:eastAsia="bg-BG"/>
              </w:rPr>
            </w:pPr>
          </w:p>
          <w:p w:rsidR="003B7C99" w:rsidRPr="00775063" w:rsidRDefault="003B7C99" w:rsidP="003B7C99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чл. 67 (1) г. и чл. 68</w:t>
            </w:r>
            <w:r w:rsidR="00BF5D70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, буква „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а</w:t>
            </w:r>
            <w:r w:rsidR="00BF5D70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“ 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от Регламент 1303/2013 г. – </w:t>
            </w:r>
          </w:p>
          <w:p w:rsidR="003B7C99" w:rsidRPr="00775063" w:rsidRDefault="003B7C99" w:rsidP="00D64D5F">
            <w:pPr>
              <w:spacing w:before="120" w:after="120"/>
              <w:jc w:val="both"/>
              <w:rPr>
                <w:rFonts w:ascii="Georgia" w:hAnsi="Georgia"/>
                <w:b/>
                <w:i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b/>
                <w:i/>
                <w:sz w:val="22"/>
                <w:szCs w:val="22"/>
                <w:lang w:val="bg-BG" w:eastAsia="bg-BG"/>
              </w:rPr>
              <w:t xml:space="preserve">единна ставка </w:t>
            </w:r>
            <w:r w:rsidRPr="00775063">
              <w:rPr>
                <w:rFonts w:ascii="Georgia" w:hAnsi="Georgia"/>
                <w:b/>
                <w:i/>
                <w:sz w:val="22"/>
                <w:szCs w:val="22"/>
                <w:u w:val="single"/>
                <w:lang w:val="bg-BG" w:eastAsia="bg-BG"/>
              </w:rPr>
              <w:t xml:space="preserve">в размер до 25 % от допустимите преки разходи, при условие че ставката се изчислява въз основа на коректен, справедлив и проверим метод на изчисление </w:t>
            </w:r>
            <w:r w:rsidRPr="00775063">
              <w:rPr>
                <w:rFonts w:ascii="Georgia" w:hAnsi="Georgia"/>
                <w:b/>
                <w:i/>
                <w:sz w:val="22"/>
                <w:szCs w:val="22"/>
                <w:lang w:val="bg-BG" w:eastAsia="bg-BG"/>
              </w:rPr>
              <w:t>или метод, прилаган в рамките на схеми за предоставяне на безвъзмездни средства, финансирани изцяло от държавата- членка, за подобен тип операция и бенефициер.</w:t>
            </w:r>
          </w:p>
          <w:p w:rsidR="00740953" w:rsidRPr="00775063" w:rsidRDefault="00740953" w:rsidP="00740953">
            <w:pPr>
              <w:spacing w:before="120" w:after="120"/>
              <w:jc w:val="both"/>
              <w:rPr>
                <w:rFonts w:ascii="Georgia" w:hAnsi="Georgia"/>
                <w:i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Използването на опростени разходи с единна ставка за финансиране на непреки чрез прилагане на процент към една или няколко определени категории разходи </w:t>
            </w:r>
            <w:r w:rsidR="008B6816"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в размер </w:t>
            </w:r>
            <w:r w:rsidR="008B6816" w:rsidRPr="00775063">
              <w:rPr>
                <w:rFonts w:ascii="Georgia" w:hAnsi="Georgia"/>
                <w:b/>
                <w:i/>
                <w:sz w:val="22"/>
                <w:szCs w:val="22"/>
                <w:lang w:val="bg-BG" w:eastAsia="bg-BG"/>
              </w:rPr>
              <w:t>на 10 % от допустимите преки разходи</w:t>
            </w:r>
            <w:r w:rsidR="008B6816"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 по проекта </w:t>
            </w:r>
            <w:r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t xml:space="preserve">ще доведе до значително облекчаване на административната тежест, риска от допускане на грешки, както и ще даде възможност човешките ресурси и административните усилия, които са необходими за управлението на ЕСИФ, да бъдат съсредоточени в </w:t>
            </w:r>
            <w:r w:rsidRPr="00775063">
              <w:rPr>
                <w:rFonts w:ascii="Georgia" w:hAnsi="Georgia"/>
                <w:i/>
                <w:sz w:val="22"/>
                <w:szCs w:val="22"/>
                <w:lang w:val="bg-BG" w:eastAsia="bg-BG"/>
              </w:rPr>
              <w:lastRenderedPageBreak/>
              <w:t>по-голяма степен върху постигането на целите на политиките, вместо да са насочени към събиране и проверяване на финансови документи, представени от Бенефициентите.</w:t>
            </w:r>
          </w:p>
        </w:tc>
      </w:tr>
      <w:tr w:rsidR="00775063" w:rsidRPr="00775063" w:rsidTr="009B3888">
        <w:tc>
          <w:tcPr>
            <w:tcW w:w="3828" w:type="dxa"/>
          </w:tcPr>
          <w:p w:rsidR="00553B0D" w:rsidRPr="00775063" w:rsidRDefault="00553B0D" w:rsidP="00182A1F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lastRenderedPageBreak/>
              <w:t>Стандартен размер на единичния разход/ размер на глобалната сума, вкл. различия по целеви групи, дейности, географски райони</w:t>
            </w:r>
          </w:p>
        </w:tc>
        <w:tc>
          <w:tcPr>
            <w:tcW w:w="7228" w:type="dxa"/>
          </w:tcPr>
          <w:p w:rsidR="00553B0D" w:rsidRPr="00775063" w:rsidRDefault="00D64D5F" w:rsidP="00D931EA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Определяне на единна ставка в размер на 10 % от допустимите преки разходи по проекта.</w:t>
            </w:r>
          </w:p>
        </w:tc>
      </w:tr>
      <w:tr w:rsidR="00775063" w:rsidRPr="00775063" w:rsidTr="009B3888">
        <w:tc>
          <w:tcPr>
            <w:tcW w:w="3828" w:type="dxa"/>
          </w:tcPr>
          <w:p w:rsidR="00553B0D" w:rsidRPr="00775063" w:rsidRDefault="00553B0D" w:rsidP="00182A1F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>Категории разходи, които се включват в изчисляването на индикатора</w:t>
            </w:r>
          </w:p>
        </w:tc>
        <w:tc>
          <w:tcPr>
            <w:tcW w:w="7228" w:type="dxa"/>
          </w:tcPr>
          <w:p w:rsidR="00A77B63" w:rsidRPr="00775063" w:rsidRDefault="00A77B63" w:rsidP="00A77B63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разходи за възнаграждения на екипа за организация и управление</w:t>
            </w:r>
          </w:p>
          <w:p w:rsidR="00A77B63" w:rsidRPr="00775063" w:rsidRDefault="00A77B63" w:rsidP="00A77B63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разходи за командировки на екипа за организация и управление</w:t>
            </w:r>
          </w:p>
          <w:p w:rsidR="00A77B63" w:rsidRPr="00775063" w:rsidRDefault="00A77B63" w:rsidP="00A77B63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разходи за материали/консумативи за екипа за организация и управление</w:t>
            </w:r>
          </w:p>
          <w:p w:rsidR="00D34532" w:rsidRPr="00775063" w:rsidRDefault="00A77B63" w:rsidP="00A77B63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други допустими разходи, свързани с организацията и управлението на проекта</w:t>
            </w:r>
          </w:p>
        </w:tc>
      </w:tr>
      <w:tr w:rsidR="00775063" w:rsidRPr="00775063" w:rsidTr="009B3888">
        <w:tc>
          <w:tcPr>
            <w:tcW w:w="3828" w:type="dxa"/>
          </w:tcPr>
          <w:p w:rsidR="00553B0D" w:rsidRPr="00775063" w:rsidRDefault="00553B0D" w:rsidP="00182A1F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>Метод за изчисляване на разхода</w:t>
            </w:r>
          </w:p>
        </w:tc>
        <w:tc>
          <w:tcPr>
            <w:tcW w:w="7228" w:type="dxa"/>
          </w:tcPr>
          <w:p w:rsidR="00EE2358" w:rsidRPr="00775063" w:rsidRDefault="005E39E6" w:rsidP="00D64D5F">
            <w:pPr>
              <w:jc w:val="both"/>
              <w:rPr>
                <w:lang w:val="bg-BG"/>
              </w:rPr>
            </w:pPr>
            <w:r w:rsidRPr="00775063">
              <w:rPr>
                <w:lang w:val="bg-BG"/>
              </w:rPr>
              <w:t xml:space="preserve">За отправна точка при </w:t>
            </w:r>
            <w:r w:rsidR="00D64D5F" w:rsidRPr="00775063">
              <w:rPr>
                <w:lang w:val="bg-BG"/>
              </w:rPr>
              <w:t>определяне</w:t>
            </w:r>
            <w:r w:rsidRPr="00775063">
              <w:rPr>
                <w:lang w:val="bg-BG"/>
              </w:rPr>
              <w:t xml:space="preserve"> на единната ставка са взети</w:t>
            </w:r>
            <w:r w:rsidR="00D64D5F" w:rsidRPr="00775063">
              <w:rPr>
                <w:lang w:val="bg-BG"/>
              </w:rPr>
              <w:t xml:space="preserve"> предвид разпоредбите касаещи детайлните правила за допустимост на разходите през програмен период 2007-2013</w:t>
            </w:r>
            <w:r w:rsidR="00D931EA" w:rsidRPr="00775063">
              <w:rPr>
                <w:lang w:val="bg-BG"/>
              </w:rPr>
              <w:t>.</w:t>
            </w:r>
          </w:p>
          <w:p w:rsidR="00EA09AC" w:rsidRPr="00775063" w:rsidRDefault="0074093E" w:rsidP="00DC1106">
            <w:pPr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lang w:val="bg-BG"/>
              </w:rPr>
              <w:t xml:space="preserve">Въз основа на извършен анализ на приоритетни оси 1, 2, 3, 4, 5 и 7, базиран върху </w:t>
            </w:r>
            <w:r w:rsidR="003003D6" w:rsidRPr="00775063">
              <w:rPr>
                <w:lang w:val="bg-BG"/>
              </w:rPr>
              <w:t>сертифицираните</w:t>
            </w:r>
            <w:r w:rsidR="00720C98" w:rsidRPr="00775063">
              <w:rPr>
                <w:lang w:val="bg-BG"/>
              </w:rPr>
              <w:t xml:space="preserve"> разходи</w:t>
            </w:r>
            <w:r w:rsidRPr="00775063">
              <w:rPr>
                <w:lang w:val="bg-BG"/>
              </w:rPr>
              <w:t xml:space="preserve"> по договори финансирани чрез конкурентен подбор на проекти е извършено изчисление на размера на </w:t>
            </w:r>
            <w:r w:rsidR="00720C98" w:rsidRPr="00775063">
              <w:rPr>
                <w:lang w:val="bg-BG"/>
              </w:rPr>
              <w:t xml:space="preserve">сертифицираните </w:t>
            </w:r>
            <w:r w:rsidRPr="00775063">
              <w:rPr>
                <w:lang w:val="bg-BG"/>
              </w:rPr>
              <w:t xml:space="preserve">непреки разходи спрямо </w:t>
            </w:r>
            <w:r w:rsidR="00720C98" w:rsidRPr="00775063">
              <w:rPr>
                <w:lang w:val="bg-BG"/>
              </w:rPr>
              <w:t xml:space="preserve">сертифицираните </w:t>
            </w:r>
            <w:r w:rsidRPr="00775063">
              <w:rPr>
                <w:lang w:val="bg-BG"/>
              </w:rPr>
              <w:t>преки</w:t>
            </w:r>
            <w:r w:rsidR="00720C98" w:rsidRPr="00775063">
              <w:rPr>
                <w:lang w:val="bg-BG"/>
              </w:rPr>
              <w:t xml:space="preserve"> разходи</w:t>
            </w:r>
            <w:r w:rsidRPr="00775063">
              <w:rPr>
                <w:lang w:val="bg-BG"/>
              </w:rPr>
              <w:t xml:space="preserve">. На тази база </w:t>
            </w:r>
            <w:r w:rsidR="00720C98" w:rsidRPr="00775063">
              <w:rPr>
                <w:lang w:val="bg-BG"/>
              </w:rPr>
              <w:t>и в съответствие</w:t>
            </w:r>
            <w:r w:rsidR="003003D6" w:rsidRPr="00775063">
              <w:rPr>
                <w:lang w:val="bg-BG"/>
              </w:rPr>
              <w:t xml:space="preserve"> с Национална методология за опре</w:t>
            </w:r>
            <w:r w:rsidR="008B1D4D" w:rsidRPr="00775063">
              <w:rPr>
                <w:lang w:val="bg-BG"/>
              </w:rPr>
              <w:t>деляне размера</w:t>
            </w:r>
            <w:r w:rsidR="00720C98" w:rsidRPr="00775063">
              <w:rPr>
                <w:lang w:val="bg-BG"/>
              </w:rPr>
              <w:t xml:space="preserve"> на единна ставка за финансиране на дейности за организация и управление на проекти, съфинансирани от ЕСИФ, приета </w:t>
            </w:r>
            <w:r w:rsidR="00DC1106" w:rsidRPr="00775063">
              <w:rPr>
                <w:lang w:val="bg-BG"/>
              </w:rPr>
              <w:t>с решение на МС 253/3.5.2017 г,</w:t>
            </w:r>
            <w:r w:rsidR="00720C98" w:rsidRPr="00775063">
              <w:rPr>
                <w:lang w:val="bg-BG"/>
              </w:rPr>
              <w:t xml:space="preserve"> </w:t>
            </w:r>
            <w:r w:rsidRPr="00775063">
              <w:rPr>
                <w:lang w:val="bg-BG"/>
              </w:rPr>
              <w:t xml:space="preserve">размерът на непреките разходи възлиза на </w:t>
            </w:r>
            <w:r w:rsidRPr="00775063">
              <w:rPr>
                <w:b/>
                <w:lang w:val="bg-BG"/>
              </w:rPr>
              <w:t>10 на сто от допустимите преки разходи</w:t>
            </w:r>
            <w:r w:rsidRPr="00775063">
              <w:rPr>
                <w:lang w:val="bg-BG"/>
              </w:rPr>
              <w:t>.</w:t>
            </w:r>
            <w:r w:rsidR="00DC1106" w:rsidRPr="00775063">
              <w:rPr>
                <w:lang w:val="bg-BG"/>
              </w:rPr>
              <w:t xml:space="preserve"> Методът на изчисление е</w:t>
            </w:r>
            <w:r w:rsidR="00953988" w:rsidRPr="00775063">
              <w:rPr>
                <w:lang w:val="bg-BG"/>
              </w:rPr>
              <w:t xml:space="preserve"> описан в</w:t>
            </w:r>
            <w:r w:rsidR="00DC1106" w:rsidRPr="00775063">
              <w:rPr>
                <w:lang w:val="bg-BG"/>
              </w:rPr>
              <w:t xml:space="preserve"> приложение </w:t>
            </w:r>
            <w:r w:rsidR="00591DE7" w:rsidRPr="00775063">
              <w:rPr>
                <w:lang w:val="bg-BG"/>
              </w:rPr>
              <w:t>2 и 2.1 А</w:t>
            </w:r>
            <w:r w:rsidR="00DC1106" w:rsidRPr="00775063">
              <w:rPr>
                <w:lang w:val="bg-BG"/>
              </w:rPr>
              <w:t>.</w:t>
            </w:r>
            <w:r w:rsidR="00197993" w:rsidRPr="00775063">
              <w:rPr>
                <w:lang w:val="bg-BG"/>
              </w:rPr>
              <w:t xml:space="preserve"> </w:t>
            </w:r>
            <w:r w:rsidR="00EA09AC" w:rsidRPr="00775063">
              <w:rPr>
                <w:lang w:val="bg-BG"/>
              </w:rPr>
              <w:t>Опитът, натрупан п</w:t>
            </w:r>
            <w:r w:rsidR="00197993" w:rsidRPr="00775063">
              <w:rPr>
                <w:lang w:val="bg-BG"/>
              </w:rPr>
              <w:t>рез програмен период 2007-2013,</w:t>
            </w:r>
            <w:r w:rsidR="00EA09AC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показва, че</w:t>
            </w:r>
            <w:r w:rsidR="00740953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</w:t>
            </w:r>
            <w:r w:rsidR="00EA09AC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определеният процент е достатъчна предпоставка за обезпечаване ефективното и ефикасно управление на проектните дейности.</w:t>
            </w:r>
            <w:r w:rsidR="00D931EA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</w:t>
            </w:r>
          </w:p>
          <w:p w:rsidR="001301A5" w:rsidRPr="00775063" w:rsidRDefault="00D931EA" w:rsidP="00D64D5F">
            <w:pPr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В настоящия програмен период се реализират и предстоят да бъдат реализирани операции</w:t>
            </w:r>
            <w:r w:rsidR="001301A5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, както със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сходен </w:t>
            </w:r>
            <w:r w:rsidR="001301A5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тип, така и със сходни бенефициенти.</w:t>
            </w:r>
          </w:p>
          <w:p w:rsidR="00EA09AC" w:rsidRPr="00775063" w:rsidRDefault="00EA09AC" w:rsidP="00740953">
            <w:pPr>
              <w:jc w:val="both"/>
              <w:rPr>
                <w:lang w:val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Предвид гореизложеното, макар и определеният процент да е по-малък спрямо възможностите, които дават приложимите нормативни документи през програмен период 2014-2020, ще се минимизира рискът от неизпълнение на преките дейности по про</w:t>
            </w:r>
            <w:r w:rsidR="005708D8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екта и свързаните с тях разходи, 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ще стимулира</w:t>
            </w:r>
            <w:r w:rsidR="005708D8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т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Бенефициентите за постигане на заложените резултати</w:t>
            </w:r>
            <w:r w:rsidR="005708D8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, както и ще бъде намален рискът от допускане на грешки. </w:t>
            </w:r>
          </w:p>
        </w:tc>
      </w:tr>
      <w:tr w:rsidR="00775063" w:rsidRPr="00775063" w:rsidTr="009B3888">
        <w:tc>
          <w:tcPr>
            <w:tcW w:w="3828" w:type="dxa"/>
          </w:tcPr>
          <w:p w:rsidR="00A77B63" w:rsidRPr="00775063" w:rsidRDefault="00A77B63" w:rsidP="00182A1F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>Метод за актуализиране</w:t>
            </w:r>
          </w:p>
        </w:tc>
        <w:tc>
          <w:tcPr>
            <w:tcW w:w="7228" w:type="dxa"/>
          </w:tcPr>
          <w:p w:rsidR="00A77B63" w:rsidRPr="00775063" w:rsidRDefault="00982B20" w:rsidP="003937B8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В случай на проведено пазарно проучване процентът може да бъде </w:t>
            </w:r>
            <w:r w:rsidR="003937B8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актуализ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иран.</w:t>
            </w:r>
            <w:r w:rsidR="0074093E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</w:t>
            </w:r>
          </w:p>
        </w:tc>
      </w:tr>
      <w:tr w:rsidR="00775063" w:rsidRPr="00775063" w:rsidTr="009B3888">
        <w:tc>
          <w:tcPr>
            <w:tcW w:w="3828" w:type="dxa"/>
          </w:tcPr>
          <w:p w:rsidR="00A77B63" w:rsidRPr="00775063" w:rsidRDefault="00A77B63" w:rsidP="00182A1F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lastRenderedPageBreak/>
              <w:t>Източник, набиране и съхранение на данни</w:t>
            </w:r>
          </w:p>
        </w:tc>
        <w:tc>
          <w:tcPr>
            <w:tcW w:w="7228" w:type="dxa"/>
          </w:tcPr>
          <w:p w:rsidR="00A77B63" w:rsidRPr="00775063" w:rsidRDefault="00A77B63" w:rsidP="00182A1F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Верификация на преките разходи по проекта и прилагане на единна ставка към тяхната стойност</w:t>
            </w:r>
            <w:r w:rsidR="0061172A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.</w:t>
            </w:r>
          </w:p>
        </w:tc>
      </w:tr>
      <w:tr w:rsidR="00775063" w:rsidRPr="00775063" w:rsidTr="009B3888">
        <w:tc>
          <w:tcPr>
            <w:tcW w:w="3828" w:type="dxa"/>
          </w:tcPr>
          <w:p w:rsidR="00A77B63" w:rsidRPr="00775063" w:rsidRDefault="00A77B63" w:rsidP="00182A1F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>Верификация на данните за резултатите от проекта</w:t>
            </w:r>
            <w:r w:rsidRPr="00775063">
              <w:rPr>
                <w:rStyle w:val="FootnoteReference"/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footnoteReference w:id="1"/>
            </w:r>
          </w:p>
        </w:tc>
        <w:tc>
          <w:tcPr>
            <w:tcW w:w="7228" w:type="dxa"/>
          </w:tcPr>
          <w:p w:rsidR="00A77B63" w:rsidRPr="00775063" w:rsidRDefault="00AB757D" w:rsidP="00AB757D">
            <w:pPr>
              <w:spacing w:before="120" w:after="120"/>
              <w:ind w:left="27" w:hanging="27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Декларация по образец към съответната операция, с която Бенефициентът ще декларира, че:</w:t>
            </w:r>
          </w:p>
          <w:p w:rsidR="00AB757D" w:rsidRPr="00775063" w:rsidRDefault="00AB757D" w:rsidP="00AB757D">
            <w:pPr>
              <w:pStyle w:val="ListParagraph"/>
              <w:numPr>
                <w:ilvl w:val="0"/>
                <w:numId w:val="13"/>
              </w:num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са спазени определените ставки и не е декларирал недопустими разходи, които са включени в категориите на допустимите разходи, установени от Управляващия орган, съгласно критериите за избор на операция;</w:t>
            </w:r>
          </w:p>
          <w:p w:rsidR="00AB757D" w:rsidRPr="00775063" w:rsidRDefault="00AB757D" w:rsidP="00AB757D">
            <w:pPr>
              <w:pStyle w:val="ListParagraph"/>
              <w:numPr>
                <w:ilvl w:val="0"/>
                <w:numId w:val="13"/>
              </w:num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не е допуснал двойно деклариране на една и съща позиция разход.</w:t>
            </w:r>
          </w:p>
          <w:p w:rsidR="00CB1041" w:rsidRPr="00775063" w:rsidRDefault="00CB1041" w:rsidP="00CB1041">
            <w:pPr>
              <w:pStyle w:val="ListParagraph"/>
              <w:spacing w:before="120" w:after="120"/>
              <w:ind w:left="117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ru-RU" w:eastAsia="bg-BG"/>
              </w:rPr>
              <w:t>Разходте за организация и управление следва да бъдат включени в бюджета на проекта и отразени в аналитичната счетоводна отчетност на Бенефициента.</w:t>
            </w:r>
          </w:p>
        </w:tc>
      </w:tr>
      <w:tr w:rsidR="00775063" w:rsidRPr="00775063" w:rsidTr="009B3888">
        <w:tc>
          <w:tcPr>
            <w:tcW w:w="3828" w:type="dxa"/>
          </w:tcPr>
          <w:p w:rsidR="00A77B63" w:rsidRPr="00775063" w:rsidRDefault="00A77B63" w:rsidP="00182A1F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>Третиране на обществени поръчки</w:t>
            </w:r>
          </w:p>
        </w:tc>
        <w:tc>
          <w:tcPr>
            <w:tcW w:w="7228" w:type="dxa"/>
          </w:tcPr>
          <w:p w:rsidR="00815EB6" w:rsidRPr="00775063" w:rsidRDefault="007E7AC8" w:rsidP="00F11001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В съответствие с чл. 67, параграф 4 изр. второ от Регламент 1303/2013</w:t>
            </w:r>
            <w:r w:rsidR="00476A45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г. и т. 1.6.2 от указанията за ОВР </w:t>
            </w:r>
            <w:r w:rsidRPr="00775063">
              <w:rPr>
                <w:rFonts w:ascii="Georgia" w:hAnsi="Georgia"/>
                <w:sz w:val="22"/>
                <w:szCs w:val="22"/>
                <w:lang w:val="en-US" w:eastAsia="bg-BG"/>
              </w:rPr>
              <w:t>EGESIF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_14-0017 на комисията в случаите в които дадена операция или проект, или част от операция не се осъществява преимуществено чрез възлагане на обществени поръчки, то е допустимо прилагане на опростени видове разходи. Разпоредбата не прави разграничение спрямо вида на възложителя и обхваща както тези по ЗОП, така и такива по ЗУСЕСИФ/ПМС160 от 2016</w:t>
            </w:r>
            <w:r w:rsidR="00476A45"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г. Тъй като видовете категории непреки разходи включват преимуществено разходи които не подлежат на възлагане, а са собствен ресурс на бенефициентите, то УО може да прилага опростено отчитане на тези разходи.</w:t>
            </w:r>
          </w:p>
        </w:tc>
      </w:tr>
      <w:tr w:rsidR="00775063" w:rsidRPr="00775063" w:rsidTr="009B3888">
        <w:tc>
          <w:tcPr>
            <w:tcW w:w="3828" w:type="dxa"/>
          </w:tcPr>
          <w:p w:rsidR="00A77B63" w:rsidRPr="00775063" w:rsidRDefault="00A77B63" w:rsidP="00182A1F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>Третиране на държавните помощи</w:t>
            </w:r>
          </w:p>
        </w:tc>
        <w:tc>
          <w:tcPr>
            <w:tcW w:w="7228" w:type="dxa"/>
          </w:tcPr>
          <w:p w:rsidR="00D860B2" w:rsidRPr="00CA1779" w:rsidRDefault="00D860B2" w:rsidP="00D860B2">
            <w:pPr>
              <w:spacing w:before="120" w:after="120"/>
              <w:jc w:val="both"/>
              <w:rPr>
                <w:lang w:val="bg-BG" w:eastAsia="bg-BG"/>
              </w:rPr>
            </w:pPr>
            <w:r w:rsidRPr="00CA1779">
              <w:rPr>
                <w:lang w:val="bg-BG" w:eastAsia="bg-BG"/>
              </w:rPr>
              <w:t>В случай на приложимост:</w:t>
            </w:r>
          </w:p>
          <w:p w:rsidR="00D860B2" w:rsidRDefault="00D860B2" w:rsidP="00D860B2">
            <w:pPr>
              <w:spacing w:before="120" w:after="120"/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С</w:t>
            </w:r>
            <w:r w:rsidRPr="00CA1779">
              <w:rPr>
                <w:lang w:val="bg-BG" w:eastAsia="bg-BG"/>
              </w:rPr>
              <w:t>ъгласно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de minimis текст от значение за ЕИП (OB L 352/24.12.2013)</w:t>
            </w:r>
            <w:r>
              <w:rPr>
                <w:lang w:val="bg-BG" w:eastAsia="bg-BG"/>
              </w:rPr>
              <w:t>;</w:t>
            </w:r>
          </w:p>
          <w:p w:rsidR="00D860B2" w:rsidRPr="00CA1779" w:rsidRDefault="00D860B2" w:rsidP="00D860B2">
            <w:pPr>
              <w:spacing w:before="120" w:after="120"/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Съгласно 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</w:t>
            </w:r>
            <w:r w:rsidR="003B1B7A">
              <w:rPr>
                <w:lang w:val="bg-BG" w:eastAsia="bg-BG"/>
              </w:rPr>
              <w:t>;</w:t>
            </w:r>
            <w:bookmarkStart w:id="0" w:name="_GoBack"/>
            <w:bookmarkEnd w:id="0"/>
          </w:p>
          <w:p w:rsidR="00A77B63" w:rsidRPr="00775063" w:rsidRDefault="00D860B2" w:rsidP="00D860B2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>
              <w:rPr>
                <w:lang w:val="bg-BG" w:eastAsia="bg-BG"/>
              </w:rPr>
              <w:t>С</w:t>
            </w:r>
            <w:r w:rsidRPr="00CA1779">
              <w:rPr>
                <w:lang w:val="bg-BG" w:eastAsia="bg-BG"/>
              </w:rPr>
              <w:t>ъгласно Решение на комисията от 20 декември 2011 година относно прилагането на член 106, параграф 2 от Договора за функционирането на Европейския съюз за държавната помощ под формата на компенсация за обществена услуга, предоставена на определени предприятия, натоварени с извършването на услуги от общ икономически интерес (нотифицирано под номер C (2011) 9380) (текст от значение за ЕИП) (OB L 7/11.01.2012).</w:t>
            </w:r>
          </w:p>
        </w:tc>
      </w:tr>
      <w:tr w:rsidR="00775063" w:rsidRPr="00775063" w:rsidTr="009B3888">
        <w:tc>
          <w:tcPr>
            <w:tcW w:w="3828" w:type="dxa"/>
          </w:tcPr>
          <w:p w:rsidR="00A77B63" w:rsidRPr="00775063" w:rsidRDefault="00A77B63" w:rsidP="00182A1F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>Третиране на разходи по правилата на ЕФРР</w:t>
            </w:r>
          </w:p>
        </w:tc>
        <w:tc>
          <w:tcPr>
            <w:tcW w:w="7228" w:type="dxa"/>
          </w:tcPr>
          <w:p w:rsidR="00A77B63" w:rsidRPr="00775063" w:rsidRDefault="00A77B63" w:rsidP="00182A1F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>Неприложимо</w:t>
            </w:r>
          </w:p>
        </w:tc>
      </w:tr>
      <w:tr w:rsidR="00775063" w:rsidRPr="00775063" w:rsidTr="009B3888">
        <w:tc>
          <w:tcPr>
            <w:tcW w:w="3828" w:type="dxa"/>
          </w:tcPr>
          <w:p w:rsidR="00A77B63" w:rsidRPr="00775063" w:rsidRDefault="00A77B63" w:rsidP="00182A1F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lastRenderedPageBreak/>
              <w:t>Съчетаване с други варианти за опростено отчитане на разходи</w:t>
            </w:r>
          </w:p>
        </w:tc>
        <w:tc>
          <w:tcPr>
            <w:tcW w:w="7228" w:type="dxa"/>
          </w:tcPr>
          <w:p w:rsidR="00A77B63" w:rsidRPr="00775063" w:rsidRDefault="006553F0" w:rsidP="006701A2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775063"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Възможно е съчетаване </w:t>
            </w:r>
            <w:r w:rsidRPr="00775063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на </w:t>
            </w:r>
            <w:r w:rsidRPr="00775063"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опростени разходи за отчитане на разходи за организация и управление на даден проект със  стандартна таблица на разходите за единица продукт (където е приложимо). </w:t>
            </w:r>
          </w:p>
        </w:tc>
      </w:tr>
    </w:tbl>
    <w:p w:rsidR="008A5FBD" w:rsidRPr="00775063" w:rsidRDefault="008A5FBD">
      <w:pPr>
        <w:rPr>
          <w:lang w:val="bg-BG"/>
        </w:rPr>
      </w:pPr>
    </w:p>
    <w:sectPr w:rsidR="008A5FBD" w:rsidRPr="00775063" w:rsidSect="008A5FB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D0B" w:rsidRDefault="00217D0B" w:rsidP="00553B0D">
      <w:r>
        <w:separator/>
      </w:r>
    </w:p>
  </w:endnote>
  <w:endnote w:type="continuationSeparator" w:id="0">
    <w:p w:rsidR="00217D0B" w:rsidRDefault="00217D0B" w:rsidP="00553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Rod">
    <w:charset w:val="00"/>
    <w:family w:val="modern"/>
    <w:pitch w:val="fixed"/>
    <w:sig w:usb0="00000803" w:usb1="00000000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05212"/>
      <w:docPartObj>
        <w:docPartGallery w:val="Page Numbers (Bottom of Page)"/>
        <w:docPartUnique/>
      </w:docPartObj>
    </w:sdtPr>
    <w:sdtEndPr/>
    <w:sdtContent>
      <w:p w:rsidR="00ED6599" w:rsidRDefault="003B2F4D">
        <w:pPr>
          <w:pStyle w:val="Footer"/>
          <w:jc w:val="right"/>
        </w:pPr>
        <w:r>
          <w:fldChar w:fldCharType="begin"/>
        </w:r>
        <w:r w:rsidR="00F33F34">
          <w:instrText xml:space="preserve"> PAGE   \* MERGEFORMAT </w:instrText>
        </w:r>
        <w:r>
          <w:fldChar w:fldCharType="separate"/>
        </w:r>
        <w:r w:rsidR="003B1B7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D6599" w:rsidRDefault="00ED65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D0B" w:rsidRDefault="00217D0B" w:rsidP="00553B0D">
      <w:r>
        <w:separator/>
      </w:r>
    </w:p>
  </w:footnote>
  <w:footnote w:type="continuationSeparator" w:id="0">
    <w:p w:rsidR="00217D0B" w:rsidRDefault="00217D0B" w:rsidP="00553B0D">
      <w:r>
        <w:continuationSeparator/>
      </w:r>
    </w:p>
  </w:footnote>
  <w:footnote w:id="1">
    <w:p w:rsidR="00A77B63" w:rsidRPr="00452649" w:rsidRDefault="00A77B63" w:rsidP="00553B0D">
      <w:pPr>
        <w:pStyle w:val="FootnoteText"/>
        <w:rPr>
          <w:rFonts w:ascii="Georgia" w:hAnsi="Georgia"/>
          <w:sz w:val="18"/>
          <w:szCs w:val="18"/>
          <w:lang w:val="bg-BG"/>
        </w:rPr>
      </w:pPr>
      <w:r w:rsidRPr="00452649">
        <w:rPr>
          <w:rStyle w:val="FootnoteReference"/>
          <w:rFonts w:ascii="Georgia" w:hAnsi="Georgia"/>
          <w:sz w:val="18"/>
          <w:szCs w:val="18"/>
        </w:rPr>
        <w:footnoteRef/>
      </w:r>
      <w:r w:rsidRPr="00452649">
        <w:rPr>
          <w:rFonts w:ascii="Georgia" w:hAnsi="Georgia"/>
          <w:sz w:val="18"/>
          <w:szCs w:val="18"/>
          <w:lang w:val="ru-RU"/>
        </w:rPr>
        <w:t xml:space="preserve"> </w:t>
      </w:r>
      <w:r w:rsidRPr="00452649">
        <w:rPr>
          <w:rFonts w:ascii="Georgia" w:hAnsi="Georgia"/>
          <w:sz w:val="18"/>
          <w:szCs w:val="18"/>
          <w:lang w:val="bg-BG"/>
        </w:rPr>
        <w:t>Това са само примерни източници на информация за нуждите на процеса на верификация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A1F" w:rsidRPr="00775165" w:rsidRDefault="00182A1F" w:rsidP="00E92532">
    <w:pPr>
      <w:pStyle w:val="Header"/>
      <w:tabs>
        <w:tab w:val="center" w:pos="4421"/>
        <w:tab w:val="left" w:pos="7725"/>
      </w:tabs>
      <w:ind w:firstLine="1416"/>
      <w:rPr>
        <w:rFonts w:ascii="Verdana" w:hAnsi="Verdana"/>
        <w:b/>
        <w:caps/>
        <w:sz w:val="20"/>
        <w:szCs w:val="20"/>
      </w:rPr>
    </w:pPr>
    <w:r>
      <w:rPr>
        <w:rFonts w:ascii="Verdana" w:hAnsi="Verdana"/>
        <w:b/>
        <w:caps/>
        <w:noProof/>
        <w:sz w:val="20"/>
        <w:szCs w:val="20"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-634365</wp:posOffset>
          </wp:positionH>
          <wp:positionV relativeFrom="paragraph">
            <wp:posOffset>-306705</wp:posOffset>
          </wp:positionV>
          <wp:extent cx="1283970" cy="914400"/>
          <wp:effectExtent l="19050" t="0" r="0" b="0"/>
          <wp:wrapNone/>
          <wp:docPr id="1" name="Picture 1" descr="EU-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whi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97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caps/>
        <w:noProof/>
        <w:sz w:val="20"/>
        <w:szCs w:val="20"/>
        <w:lang w:val="bg-BG" w:eastAsia="bg-BG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5353078</wp:posOffset>
          </wp:positionH>
          <wp:positionV relativeFrom="paragraph">
            <wp:posOffset>-306457</wp:posOffset>
          </wp:positionV>
          <wp:extent cx="1124032" cy="954157"/>
          <wp:effectExtent l="19050" t="0" r="0" b="0"/>
          <wp:wrapNone/>
          <wp:docPr id="2" name="Picture 2" descr="OPHRD-center-graysc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PHRD-center-grayscal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032" cy="95415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75165">
      <w:rPr>
        <w:rFonts w:ascii="Verdana" w:hAnsi="Verdana"/>
        <w:b/>
        <w:caps/>
        <w:sz w:val="20"/>
        <w:szCs w:val="20"/>
      </w:rPr>
      <w:t>Министерство на труда и социалната политика</w:t>
    </w:r>
    <w:r>
      <w:rPr>
        <w:rFonts w:ascii="Verdana" w:hAnsi="Verdana"/>
        <w:b/>
        <w:caps/>
        <w:sz w:val="20"/>
        <w:szCs w:val="20"/>
      </w:rPr>
      <w:tab/>
    </w:r>
  </w:p>
  <w:p w:rsidR="00182A1F" w:rsidRPr="00775165" w:rsidRDefault="00182A1F" w:rsidP="00E92532">
    <w:pPr>
      <w:pStyle w:val="Footer"/>
      <w:ind w:right="360"/>
      <w:rPr>
        <w:rFonts w:ascii="Verdana" w:hAnsi="Verdana"/>
        <w:b/>
        <w:bCs/>
        <w:iCs/>
        <w:smallCaps/>
        <w:color w:val="000000"/>
        <w:sz w:val="20"/>
        <w:szCs w:val="20"/>
      </w:rPr>
    </w:pPr>
    <w:r>
      <w:rPr>
        <w:rFonts w:ascii="Verdana" w:hAnsi="Verdana"/>
        <w:b/>
        <w:bCs/>
        <w:iCs/>
        <w:smallCaps/>
        <w:color w:val="000000"/>
        <w:sz w:val="20"/>
        <w:szCs w:val="20"/>
      </w:rPr>
      <w:tab/>
    </w:r>
    <w:r w:rsidRPr="00775165">
      <w:rPr>
        <w:rFonts w:ascii="Verdana" w:hAnsi="Verdana"/>
        <w:b/>
        <w:bCs/>
        <w:iCs/>
        <w:smallCaps/>
        <w:color w:val="000000"/>
        <w:sz w:val="20"/>
        <w:szCs w:val="20"/>
      </w:rPr>
      <w:t>Оперативна програма</w:t>
    </w:r>
  </w:p>
  <w:p w:rsidR="00182A1F" w:rsidRPr="00775165" w:rsidRDefault="00182A1F" w:rsidP="00E92532">
    <w:pPr>
      <w:pStyle w:val="Footer"/>
      <w:ind w:right="360"/>
      <w:rPr>
        <w:b/>
        <w:sz w:val="20"/>
        <w:szCs w:val="20"/>
      </w:rPr>
    </w:pPr>
    <w:r>
      <w:rPr>
        <w:rFonts w:ascii="Verdana" w:hAnsi="Verdana"/>
        <w:b/>
        <w:bCs/>
        <w:iCs/>
        <w:smallCaps/>
        <w:color w:val="000000"/>
        <w:sz w:val="20"/>
        <w:szCs w:val="20"/>
      </w:rPr>
      <w:tab/>
    </w:r>
    <w:r w:rsidRPr="00775165">
      <w:rPr>
        <w:rFonts w:ascii="Verdana" w:hAnsi="Verdana"/>
        <w:b/>
        <w:bCs/>
        <w:iCs/>
        <w:smallCaps/>
        <w:color w:val="000000"/>
        <w:sz w:val="20"/>
        <w:szCs w:val="20"/>
      </w:rPr>
      <w:t>„Развитие на човешките ресурси” 2014-2020</w:t>
    </w:r>
  </w:p>
  <w:p w:rsidR="00182A1F" w:rsidRDefault="00182A1F">
    <w:pPr>
      <w:pStyle w:val="Header"/>
    </w:pPr>
  </w:p>
  <w:p w:rsidR="00182A1F" w:rsidRDefault="00182A1F">
    <w:pPr>
      <w:pStyle w:val="Header"/>
    </w:pPr>
  </w:p>
  <w:p w:rsidR="00182A1F" w:rsidRPr="00AE0809" w:rsidRDefault="00182A1F" w:rsidP="00A37316">
    <w:pPr>
      <w:pStyle w:val="Header"/>
      <w:rPr>
        <w:b/>
        <w:lang w:val="bg-BG"/>
      </w:rPr>
    </w:pPr>
    <w:r>
      <w:tab/>
    </w:r>
    <w:r>
      <w:rPr>
        <w:lang w:val="bg-BG"/>
      </w:rPr>
      <w:tab/>
    </w:r>
    <w:r w:rsidR="00AB757D">
      <w:rPr>
        <w:lang w:val="bg-BG"/>
      </w:rPr>
      <w:t xml:space="preserve">                                </w:t>
    </w:r>
    <w:r>
      <w:rPr>
        <w:lang w:val="bg-BG"/>
      </w:rPr>
      <w:t>Приложение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4EA"/>
    <w:multiLevelType w:val="multilevel"/>
    <w:tmpl w:val="911C7A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095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 w:val="0"/>
      </w:rPr>
    </w:lvl>
  </w:abstractNum>
  <w:abstractNum w:abstractNumId="1" w15:restartNumberingAfterBreak="0">
    <w:nsid w:val="2A8E3796"/>
    <w:multiLevelType w:val="hybridMultilevel"/>
    <w:tmpl w:val="148816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93FB6"/>
    <w:multiLevelType w:val="hybridMultilevel"/>
    <w:tmpl w:val="C6B495FE"/>
    <w:lvl w:ilvl="0" w:tplc="41D4C6C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Georgia" w:eastAsia="Times New Roman" w:hAnsi="Georgia" w:cs="Times New Roman" w:hint="default"/>
      </w:rPr>
    </w:lvl>
    <w:lvl w:ilvl="1" w:tplc="157221BA">
      <w:start w:val="1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Georgia" w:eastAsia="Rod" w:hAnsi="Georgia" w:cs="Rod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1266E"/>
    <w:multiLevelType w:val="hybridMultilevel"/>
    <w:tmpl w:val="1B8E68C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64776"/>
    <w:multiLevelType w:val="hybridMultilevel"/>
    <w:tmpl w:val="8EA26B3A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721846"/>
    <w:multiLevelType w:val="hybridMultilevel"/>
    <w:tmpl w:val="B6405F9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251AD0"/>
    <w:multiLevelType w:val="multilevel"/>
    <w:tmpl w:val="911C7A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095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 w:val="0"/>
      </w:rPr>
    </w:lvl>
  </w:abstractNum>
  <w:abstractNum w:abstractNumId="7" w15:restartNumberingAfterBreak="0">
    <w:nsid w:val="4FE018A2"/>
    <w:multiLevelType w:val="hybridMultilevel"/>
    <w:tmpl w:val="F40E4110"/>
    <w:lvl w:ilvl="0" w:tplc="040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562E5819"/>
    <w:multiLevelType w:val="hybridMultilevel"/>
    <w:tmpl w:val="05B43AD6"/>
    <w:lvl w:ilvl="0" w:tplc="41D4C6C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Georgia" w:eastAsia="Times New Roman" w:hAnsi="Georgia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5201C"/>
    <w:multiLevelType w:val="hybridMultilevel"/>
    <w:tmpl w:val="720E0D16"/>
    <w:lvl w:ilvl="0" w:tplc="F330327E">
      <w:start w:val="1"/>
      <w:numFmt w:val="decimal"/>
      <w:lvlText w:val="%1)"/>
      <w:lvlJc w:val="left"/>
      <w:pPr>
        <w:ind w:left="1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0" w15:restartNumberingAfterBreak="0">
    <w:nsid w:val="714818CA"/>
    <w:multiLevelType w:val="hybridMultilevel"/>
    <w:tmpl w:val="478C14A8"/>
    <w:lvl w:ilvl="0" w:tplc="157221BA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Georgia" w:eastAsia="Rod" w:hAnsi="Georgia" w:cs="Ro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E3381"/>
    <w:multiLevelType w:val="hybridMultilevel"/>
    <w:tmpl w:val="8716E384"/>
    <w:lvl w:ilvl="0" w:tplc="0402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8"/>
  </w:num>
  <w:num w:numId="5">
    <w:abstractNumId w:val="11"/>
  </w:num>
  <w:num w:numId="6">
    <w:abstractNumId w:val="5"/>
  </w:num>
  <w:num w:numId="7">
    <w:abstractNumId w:val="3"/>
  </w:num>
  <w:num w:numId="8">
    <w:abstractNumId w:val="7"/>
  </w:num>
  <w:num w:numId="9">
    <w:abstractNumId w:val="9"/>
  </w:num>
  <w:num w:numId="10">
    <w:abstractNumId w:val="6"/>
  </w:num>
  <w:num w:numId="11">
    <w:abstractNumId w:val="4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B0D"/>
    <w:rsid w:val="00010117"/>
    <w:rsid w:val="00015176"/>
    <w:rsid w:val="00022F83"/>
    <w:rsid w:val="00072E01"/>
    <w:rsid w:val="000767A7"/>
    <w:rsid w:val="00080524"/>
    <w:rsid w:val="00084A1F"/>
    <w:rsid w:val="000A2F03"/>
    <w:rsid w:val="000A3FA0"/>
    <w:rsid w:val="000D5822"/>
    <w:rsid w:val="00104E6D"/>
    <w:rsid w:val="001301A5"/>
    <w:rsid w:val="001661B6"/>
    <w:rsid w:val="00182A1F"/>
    <w:rsid w:val="00192FAA"/>
    <w:rsid w:val="00193ED3"/>
    <w:rsid w:val="00194496"/>
    <w:rsid w:val="00197993"/>
    <w:rsid w:val="001A0EBF"/>
    <w:rsid w:val="001B1E11"/>
    <w:rsid w:val="001E5721"/>
    <w:rsid w:val="00212A51"/>
    <w:rsid w:val="00217D0B"/>
    <w:rsid w:val="002374E1"/>
    <w:rsid w:val="00251D92"/>
    <w:rsid w:val="00265489"/>
    <w:rsid w:val="00277837"/>
    <w:rsid w:val="00283953"/>
    <w:rsid w:val="002839A0"/>
    <w:rsid w:val="00291FB8"/>
    <w:rsid w:val="002D425B"/>
    <w:rsid w:val="002E73AB"/>
    <w:rsid w:val="002F2A3F"/>
    <w:rsid w:val="003003D6"/>
    <w:rsid w:val="003071AF"/>
    <w:rsid w:val="0030778B"/>
    <w:rsid w:val="00311206"/>
    <w:rsid w:val="00317B23"/>
    <w:rsid w:val="00320B5D"/>
    <w:rsid w:val="00323AB0"/>
    <w:rsid w:val="0032407E"/>
    <w:rsid w:val="003245A4"/>
    <w:rsid w:val="00340068"/>
    <w:rsid w:val="00347CEF"/>
    <w:rsid w:val="003558FA"/>
    <w:rsid w:val="00365D0B"/>
    <w:rsid w:val="00370214"/>
    <w:rsid w:val="00373EC5"/>
    <w:rsid w:val="00376ACF"/>
    <w:rsid w:val="00392715"/>
    <w:rsid w:val="003937B8"/>
    <w:rsid w:val="00395615"/>
    <w:rsid w:val="0039793A"/>
    <w:rsid w:val="00397EBC"/>
    <w:rsid w:val="003A16B0"/>
    <w:rsid w:val="003B1B7A"/>
    <w:rsid w:val="003B2F4D"/>
    <w:rsid w:val="003B5A70"/>
    <w:rsid w:val="003B78AA"/>
    <w:rsid w:val="003B7C99"/>
    <w:rsid w:val="003D1343"/>
    <w:rsid w:val="003E368C"/>
    <w:rsid w:val="004023E0"/>
    <w:rsid w:val="00422E11"/>
    <w:rsid w:val="004234C0"/>
    <w:rsid w:val="00441F5B"/>
    <w:rsid w:val="00443D32"/>
    <w:rsid w:val="0045033A"/>
    <w:rsid w:val="00450BF1"/>
    <w:rsid w:val="00476A45"/>
    <w:rsid w:val="00487BEC"/>
    <w:rsid w:val="004A5ABA"/>
    <w:rsid w:val="004B5DF0"/>
    <w:rsid w:val="004E60A2"/>
    <w:rsid w:val="004F7652"/>
    <w:rsid w:val="005270B4"/>
    <w:rsid w:val="00531EF3"/>
    <w:rsid w:val="005421FE"/>
    <w:rsid w:val="00553B0D"/>
    <w:rsid w:val="00565FA0"/>
    <w:rsid w:val="0056795E"/>
    <w:rsid w:val="005708D8"/>
    <w:rsid w:val="00575C9A"/>
    <w:rsid w:val="00583E6B"/>
    <w:rsid w:val="00587221"/>
    <w:rsid w:val="00591DE7"/>
    <w:rsid w:val="00592FE6"/>
    <w:rsid w:val="005A31DB"/>
    <w:rsid w:val="005B6893"/>
    <w:rsid w:val="005B7DE1"/>
    <w:rsid w:val="005C18F9"/>
    <w:rsid w:val="005E01A0"/>
    <w:rsid w:val="005E1487"/>
    <w:rsid w:val="005E3568"/>
    <w:rsid w:val="005E39E6"/>
    <w:rsid w:val="005E5DD1"/>
    <w:rsid w:val="005F6969"/>
    <w:rsid w:val="00603FBD"/>
    <w:rsid w:val="0061172A"/>
    <w:rsid w:val="00611D30"/>
    <w:rsid w:val="00626D1B"/>
    <w:rsid w:val="00650C51"/>
    <w:rsid w:val="006526CC"/>
    <w:rsid w:val="006553F0"/>
    <w:rsid w:val="006701A2"/>
    <w:rsid w:val="00697F30"/>
    <w:rsid w:val="006A1501"/>
    <w:rsid w:val="006A4FCE"/>
    <w:rsid w:val="006B6DF0"/>
    <w:rsid w:val="006E72B0"/>
    <w:rsid w:val="00701C6B"/>
    <w:rsid w:val="007024F3"/>
    <w:rsid w:val="007152DD"/>
    <w:rsid w:val="0071586D"/>
    <w:rsid w:val="00720C98"/>
    <w:rsid w:val="0072729A"/>
    <w:rsid w:val="007349B1"/>
    <w:rsid w:val="0074093E"/>
    <w:rsid w:val="00740953"/>
    <w:rsid w:val="00743D51"/>
    <w:rsid w:val="00752779"/>
    <w:rsid w:val="00756B1C"/>
    <w:rsid w:val="007653B8"/>
    <w:rsid w:val="0076586E"/>
    <w:rsid w:val="00775063"/>
    <w:rsid w:val="007804B7"/>
    <w:rsid w:val="007808E4"/>
    <w:rsid w:val="007830B5"/>
    <w:rsid w:val="00796A33"/>
    <w:rsid w:val="007A25D0"/>
    <w:rsid w:val="007D7161"/>
    <w:rsid w:val="007E7AC8"/>
    <w:rsid w:val="0081434E"/>
    <w:rsid w:val="00814679"/>
    <w:rsid w:val="00814752"/>
    <w:rsid w:val="00815EB6"/>
    <w:rsid w:val="00817A4C"/>
    <w:rsid w:val="00821661"/>
    <w:rsid w:val="00850A49"/>
    <w:rsid w:val="0088707D"/>
    <w:rsid w:val="008909B3"/>
    <w:rsid w:val="008A5FBD"/>
    <w:rsid w:val="008B1D4D"/>
    <w:rsid w:val="008B6816"/>
    <w:rsid w:val="008E0597"/>
    <w:rsid w:val="008E3E0D"/>
    <w:rsid w:val="00902BAE"/>
    <w:rsid w:val="00921341"/>
    <w:rsid w:val="00944173"/>
    <w:rsid w:val="009512D3"/>
    <w:rsid w:val="009529A5"/>
    <w:rsid w:val="00953988"/>
    <w:rsid w:val="00957251"/>
    <w:rsid w:val="00965423"/>
    <w:rsid w:val="00965F86"/>
    <w:rsid w:val="00967B53"/>
    <w:rsid w:val="00982B20"/>
    <w:rsid w:val="009851B8"/>
    <w:rsid w:val="00993BB3"/>
    <w:rsid w:val="009A491D"/>
    <w:rsid w:val="009B1C48"/>
    <w:rsid w:val="009B2BA8"/>
    <w:rsid w:val="009B3888"/>
    <w:rsid w:val="009B7F5D"/>
    <w:rsid w:val="009C07B9"/>
    <w:rsid w:val="009C61BC"/>
    <w:rsid w:val="00A07C16"/>
    <w:rsid w:val="00A10C34"/>
    <w:rsid w:val="00A11025"/>
    <w:rsid w:val="00A269A6"/>
    <w:rsid w:val="00A33765"/>
    <w:rsid w:val="00A37316"/>
    <w:rsid w:val="00A5042E"/>
    <w:rsid w:val="00A53416"/>
    <w:rsid w:val="00A541CF"/>
    <w:rsid w:val="00A75340"/>
    <w:rsid w:val="00A77B63"/>
    <w:rsid w:val="00A854DE"/>
    <w:rsid w:val="00A91065"/>
    <w:rsid w:val="00A970CE"/>
    <w:rsid w:val="00AB757D"/>
    <w:rsid w:val="00AB763C"/>
    <w:rsid w:val="00AC0750"/>
    <w:rsid w:val="00AE0809"/>
    <w:rsid w:val="00AE622F"/>
    <w:rsid w:val="00AF5915"/>
    <w:rsid w:val="00AF677C"/>
    <w:rsid w:val="00B0207A"/>
    <w:rsid w:val="00B02A3A"/>
    <w:rsid w:val="00B372B1"/>
    <w:rsid w:val="00B444F5"/>
    <w:rsid w:val="00B44910"/>
    <w:rsid w:val="00B61088"/>
    <w:rsid w:val="00B650F8"/>
    <w:rsid w:val="00B80188"/>
    <w:rsid w:val="00B9195E"/>
    <w:rsid w:val="00BA0582"/>
    <w:rsid w:val="00BF5D70"/>
    <w:rsid w:val="00BF7D6B"/>
    <w:rsid w:val="00C021C8"/>
    <w:rsid w:val="00C16DB4"/>
    <w:rsid w:val="00C30B7B"/>
    <w:rsid w:val="00C55DC9"/>
    <w:rsid w:val="00C87189"/>
    <w:rsid w:val="00CA0060"/>
    <w:rsid w:val="00CB0925"/>
    <w:rsid w:val="00CB1041"/>
    <w:rsid w:val="00CB1D55"/>
    <w:rsid w:val="00CC5222"/>
    <w:rsid w:val="00CF2FE2"/>
    <w:rsid w:val="00D00783"/>
    <w:rsid w:val="00D140DC"/>
    <w:rsid w:val="00D3266B"/>
    <w:rsid w:val="00D34532"/>
    <w:rsid w:val="00D36739"/>
    <w:rsid w:val="00D45542"/>
    <w:rsid w:val="00D530BC"/>
    <w:rsid w:val="00D553C1"/>
    <w:rsid w:val="00D64D5F"/>
    <w:rsid w:val="00D7208F"/>
    <w:rsid w:val="00D74CBD"/>
    <w:rsid w:val="00D860B2"/>
    <w:rsid w:val="00D931EA"/>
    <w:rsid w:val="00DA3C21"/>
    <w:rsid w:val="00DC1106"/>
    <w:rsid w:val="00DD01B7"/>
    <w:rsid w:val="00DD0E1A"/>
    <w:rsid w:val="00DE1637"/>
    <w:rsid w:val="00DE16A0"/>
    <w:rsid w:val="00E10F40"/>
    <w:rsid w:val="00E419CE"/>
    <w:rsid w:val="00E578C5"/>
    <w:rsid w:val="00E60DC1"/>
    <w:rsid w:val="00E63977"/>
    <w:rsid w:val="00E66C39"/>
    <w:rsid w:val="00E76710"/>
    <w:rsid w:val="00E859D6"/>
    <w:rsid w:val="00E92532"/>
    <w:rsid w:val="00EA09AC"/>
    <w:rsid w:val="00EA1DE1"/>
    <w:rsid w:val="00EB4BF8"/>
    <w:rsid w:val="00EB6541"/>
    <w:rsid w:val="00EC75A5"/>
    <w:rsid w:val="00ED6599"/>
    <w:rsid w:val="00EE2358"/>
    <w:rsid w:val="00EE2C64"/>
    <w:rsid w:val="00EE5AA9"/>
    <w:rsid w:val="00F11001"/>
    <w:rsid w:val="00F111EB"/>
    <w:rsid w:val="00F25543"/>
    <w:rsid w:val="00F33F34"/>
    <w:rsid w:val="00F350B9"/>
    <w:rsid w:val="00F3716D"/>
    <w:rsid w:val="00F458FF"/>
    <w:rsid w:val="00F5583A"/>
    <w:rsid w:val="00F60B16"/>
    <w:rsid w:val="00F81675"/>
    <w:rsid w:val="00F87D71"/>
    <w:rsid w:val="00FA4DF3"/>
    <w:rsid w:val="00FB1534"/>
    <w:rsid w:val="00FC362D"/>
    <w:rsid w:val="00FD735D"/>
    <w:rsid w:val="00FE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5136BFD"/>
  <w15:docId w15:val="{6D282A4E-0AD5-46D8-8A8A-C7E30F435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553B0D"/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3B0D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553B0D"/>
    <w:pPr>
      <w:ind w:left="720"/>
      <w:contextualSpacing/>
    </w:pPr>
    <w:rPr>
      <w:rFonts w:ascii="Calibri" w:eastAsia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553B0D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B0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3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553B0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53B0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semiHidden/>
    <w:rsid w:val="00553B0D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F111EB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E9253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E92532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E9253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2532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6893"/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6893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3E3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3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F57580-1CFE-4261-A6D7-538E27A7F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vasenov</dc:creator>
  <cp:keywords/>
  <dc:description/>
  <cp:lastModifiedBy>Gergana Angelova Toncheva</cp:lastModifiedBy>
  <cp:revision>26</cp:revision>
  <dcterms:created xsi:type="dcterms:W3CDTF">2016-12-09T14:01:00Z</dcterms:created>
  <dcterms:modified xsi:type="dcterms:W3CDTF">2018-12-18T08:53:00Z</dcterms:modified>
</cp:coreProperties>
</file>