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57B" w:rsidRDefault="0090257B" w:rsidP="00754A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>МЕТОДИКА ЗА ОЦЕНКА НА ФИНАНСОВИЯ КАПАЦИТЕТ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НА </w:t>
      </w:r>
    </w:p>
    <w:p w:rsidR="0090257B" w:rsidRDefault="0090257B" w:rsidP="00754A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>КАНДИДАТИТЕ</w:t>
      </w:r>
      <w:r w:rsidR="00836EB0">
        <w:rPr>
          <w:rFonts w:ascii="Times New Roman" w:hAnsi="Times New Roman" w:cs="Times New Roman"/>
          <w:b/>
          <w:sz w:val="24"/>
          <w:szCs w:val="24"/>
          <w:lang w:val="bg-BG"/>
        </w:rPr>
        <w:t>/ПАРТНЬОРИТЕ</w:t>
      </w: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ПО ОПЕРАТИВНА ПРОГРАМА </w:t>
      </w:r>
    </w:p>
    <w:p w:rsidR="00B938A0" w:rsidRPr="0090257B" w:rsidRDefault="0090257B" w:rsidP="00826A81">
      <w:pPr>
        <w:spacing w:after="36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„РАЗВИТИЕ НА ЧОВЕШКИТЕ РЕСУРСИ“ 2014 – 2020 </w:t>
      </w:r>
    </w:p>
    <w:p w:rsidR="00AC30D9" w:rsidRPr="00754AE5" w:rsidRDefault="00901460" w:rsidP="00754AE5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Регулаторна рамка</w:t>
      </w:r>
    </w:p>
    <w:p w:rsidR="00D274CD" w:rsidRDefault="00D274CD" w:rsidP="001D41F5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Настоящата методика за оценка на финансовия капацитет на кандидат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ите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по Оперативна Програма „Развитие на Човешките Ресурси“ 2014 – 2020 г. е разработена в изпълнение на член 125, ал.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3, т.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>(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г) от Регламент 1303/2013, член 196, ал. 1 от Регламент 1268/2012 и член 202, ал.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2 и 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 xml:space="preserve">ал.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3 от Регламент 1268/2012</w:t>
      </w:r>
      <w:r w:rsidR="009F7052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754AE5" w:rsidRPr="00754AE5" w:rsidRDefault="009F7052" w:rsidP="00754AE5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Изискуеми документи</w:t>
      </w:r>
    </w:p>
    <w:p w:rsidR="007743B9" w:rsidRDefault="00FF2795" w:rsidP="007743B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При подаване на </w:t>
      </w:r>
      <w:r w:rsidR="00901460" w:rsidRPr="0090257B">
        <w:rPr>
          <w:rFonts w:ascii="Times New Roman" w:hAnsi="Times New Roman" w:cs="Times New Roman"/>
          <w:sz w:val="24"/>
          <w:szCs w:val="24"/>
          <w:lang w:val="bg-BG"/>
        </w:rPr>
        <w:t>проектни предложения кандидат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ите</w:t>
      </w:r>
      <w:r w:rsidR="00901460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трябва да представ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ят</w:t>
      </w:r>
      <w:r w:rsidR="00901460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550B6F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счетоводен баланс за </w:t>
      </w:r>
      <w:r w:rsidR="007743B9">
        <w:rPr>
          <w:rFonts w:ascii="Times New Roman" w:hAnsi="Times New Roman" w:cs="Times New Roman"/>
          <w:sz w:val="24"/>
          <w:szCs w:val="24"/>
          <w:lang w:val="bg-BG"/>
        </w:rPr>
        <w:t>предходната</w:t>
      </w:r>
      <w:r w:rsidR="007743B9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F4DBC" w:rsidRPr="0090257B">
        <w:rPr>
          <w:rFonts w:ascii="Times New Roman" w:hAnsi="Times New Roman" w:cs="Times New Roman"/>
          <w:sz w:val="24"/>
          <w:szCs w:val="24"/>
          <w:lang w:val="bg-BG"/>
        </w:rPr>
        <w:t>финансов</w:t>
      </w:r>
      <w:r w:rsidR="007743B9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3F4DB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550B6F" w:rsidRPr="0090257B">
        <w:rPr>
          <w:rFonts w:ascii="Times New Roman" w:hAnsi="Times New Roman" w:cs="Times New Roman"/>
          <w:sz w:val="24"/>
          <w:szCs w:val="24"/>
          <w:lang w:val="bg-BG"/>
        </w:rPr>
        <w:t>годин</w:t>
      </w:r>
      <w:r w:rsidR="007743B9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553A92">
        <w:rPr>
          <w:rStyle w:val="FootnoteReference"/>
          <w:rFonts w:ascii="Times New Roman" w:hAnsi="Times New Roman" w:cs="Times New Roman"/>
          <w:sz w:val="24"/>
          <w:szCs w:val="24"/>
          <w:lang w:val="bg-BG"/>
        </w:rPr>
        <w:footnoteReference w:id="1"/>
      </w:r>
      <w:r w:rsidR="00550B6F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7743B9" w:rsidRPr="007743B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743B9" w:rsidRPr="00211E31"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</w:t>
      </w:r>
      <w:r w:rsidR="007743B9">
        <w:rPr>
          <w:rFonts w:ascii="Times New Roman" w:hAnsi="Times New Roman" w:cs="Times New Roman"/>
          <w:sz w:val="24"/>
          <w:szCs w:val="24"/>
          <w:lang w:val="bg-BG"/>
        </w:rPr>
        <w:t>финансовите отчети</w:t>
      </w:r>
      <w:r w:rsidR="007743B9" w:rsidRPr="00211E31">
        <w:rPr>
          <w:rFonts w:ascii="Times New Roman" w:hAnsi="Times New Roman" w:cs="Times New Roman"/>
          <w:sz w:val="24"/>
          <w:szCs w:val="24"/>
          <w:lang w:val="bg-BG"/>
        </w:rPr>
        <w:t xml:space="preserve"> за предходната финансова година </w:t>
      </w:r>
      <w:r w:rsidR="007743B9">
        <w:rPr>
          <w:rFonts w:ascii="Times New Roman" w:hAnsi="Times New Roman" w:cs="Times New Roman"/>
          <w:sz w:val="24"/>
          <w:szCs w:val="24"/>
          <w:lang w:val="bg-BG"/>
        </w:rPr>
        <w:t>са</w:t>
      </w:r>
      <w:r w:rsidR="007743B9" w:rsidRPr="00211E31">
        <w:rPr>
          <w:rFonts w:ascii="Times New Roman" w:hAnsi="Times New Roman" w:cs="Times New Roman"/>
          <w:sz w:val="24"/>
          <w:szCs w:val="24"/>
          <w:lang w:val="bg-BG"/>
        </w:rPr>
        <w:t xml:space="preserve"> подаден</w:t>
      </w:r>
      <w:r w:rsidR="007743B9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7743B9" w:rsidRPr="00211E31">
        <w:rPr>
          <w:rFonts w:ascii="Times New Roman" w:hAnsi="Times New Roman" w:cs="Times New Roman"/>
          <w:sz w:val="24"/>
          <w:szCs w:val="24"/>
          <w:lang w:val="bg-BG"/>
        </w:rPr>
        <w:t xml:space="preserve"> към  Националния статистически институт (НСИ), се извършва служебна проверка от оценителната комисия за посочените стойности за текуща </w:t>
      </w:r>
      <w:proofErr w:type="spellStart"/>
      <w:r w:rsidR="007743B9" w:rsidRPr="00211E31">
        <w:rPr>
          <w:rFonts w:ascii="Times New Roman" w:hAnsi="Times New Roman" w:cs="Times New Roman"/>
          <w:sz w:val="24"/>
          <w:szCs w:val="24"/>
          <w:lang w:val="bg-BG"/>
        </w:rPr>
        <w:t>печалба/загуба</w:t>
      </w:r>
      <w:proofErr w:type="spellEnd"/>
      <w:r w:rsidR="007743B9" w:rsidRPr="00211E31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836EB0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743B9" w:rsidRPr="00211E31">
        <w:rPr>
          <w:rFonts w:ascii="Times New Roman" w:hAnsi="Times New Roman" w:cs="Times New Roman"/>
          <w:sz w:val="24"/>
          <w:szCs w:val="24"/>
          <w:lang w:val="bg-BG"/>
        </w:rPr>
        <w:t>собствен капитал и стойност на актива.</w:t>
      </w:r>
      <w:r w:rsidR="007743B9" w:rsidRPr="007C73F7">
        <w:rPr>
          <w:lang w:val="bg-BG"/>
        </w:rPr>
        <w:t xml:space="preserve"> </w:t>
      </w:r>
      <w:r w:rsidR="007743B9" w:rsidRPr="003632E7">
        <w:rPr>
          <w:rFonts w:ascii="Times New Roman" w:hAnsi="Times New Roman" w:cs="Times New Roman"/>
          <w:sz w:val="24"/>
          <w:szCs w:val="24"/>
          <w:lang w:val="bg-BG"/>
        </w:rPr>
        <w:t xml:space="preserve">За </w:t>
      </w:r>
      <w:proofErr w:type="spellStart"/>
      <w:r w:rsidR="007743B9" w:rsidRPr="003632E7">
        <w:rPr>
          <w:rFonts w:ascii="Times New Roman" w:hAnsi="Times New Roman" w:cs="Times New Roman"/>
          <w:sz w:val="24"/>
          <w:szCs w:val="24"/>
          <w:lang w:val="bg-BG"/>
        </w:rPr>
        <w:t>кандидати/партньори</w:t>
      </w:r>
      <w:proofErr w:type="spellEnd"/>
      <w:r w:rsidR="007743B9" w:rsidRPr="003632E7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proofErr w:type="spellStart"/>
      <w:r w:rsidR="007743B9" w:rsidRPr="003632E7">
        <w:rPr>
          <w:rFonts w:ascii="Times New Roman" w:hAnsi="Times New Roman" w:cs="Times New Roman"/>
          <w:sz w:val="24"/>
          <w:szCs w:val="24"/>
          <w:lang w:val="bg-BG"/>
        </w:rPr>
        <w:t>новорегистрирани/новосъздадени</w:t>
      </w:r>
      <w:proofErr w:type="spellEnd"/>
      <w:r w:rsidR="007743B9" w:rsidRPr="003632E7">
        <w:rPr>
          <w:rFonts w:ascii="Times New Roman" w:hAnsi="Times New Roman" w:cs="Times New Roman"/>
          <w:sz w:val="24"/>
          <w:szCs w:val="24"/>
          <w:lang w:val="bg-BG"/>
        </w:rPr>
        <w:t xml:space="preserve"> през текущата година организации, следва да </w:t>
      </w:r>
      <w:r w:rsidR="007743B9">
        <w:rPr>
          <w:rFonts w:ascii="Times New Roman" w:hAnsi="Times New Roman" w:cs="Times New Roman"/>
          <w:sz w:val="24"/>
          <w:szCs w:val="24"/>
          <w:lang w:val="bg-BG"/>
        </w:rPr>
        <w:t xml:space="preserve">се </w:t>
      </w:r>
      <w:r w:rsidR="007743B9" w:rsidRPr="003632E7">
        <w:rPr>
          <w:rFonts w:ascii="Times New Roman" w:hAnsi="Times New Roman" w:cs="Times New Roman"/>
          <w:sz w:val="24"/>
          <w:szCs w:val="24"/>
          <w:lang w:val="bg-BG"/>
        </w:rPr>
        <w:t xml:space="preserve">приложи </w:t>
      </w:r>
      <w:r w:rsidR="007743B9">
        <w:rPr>
          <w:rFonts w:ascii="Times New Roman" w:hAnsi="Times New Roman" w:cs="Times New Roman"/>
          <w:sz w:val="24"/>
          <w:szCs w:val="24"/>
          <w:lang w:val="bg-BG"/>
        </w:rPr>
        <w:t xml:space="preserve">счетоводен баланс </w:t>
      </w:r>
      <w:r w:rsidR="007743B9" w:rsidRPr="003632E7">
        <w:rPr>
          <w:rFonts w:ascii="Times New Roman" w:hAnsi="Times New Roman" w:cs="Times New Roman"/>
          <w:sz w:val="24"/>
          <w:szCs w:val="24"/>
          <w:lang w:val="bg-BG"/>
        </w:rPr>
        <w:t>в секция 12 на ИСУН 2020 за периода от регистрацията на кандидата/партньора до последната дата на месеца, предхождащ месеца на кандидатстване.</w:t>
      </w:r>
    </w:p>
    <w:p w:rsidR="00433628" w:rsidRPr="0090257B" w:rsidRDefault="00433628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6369D2" w:rsidRPr="00754AE5" w:rsidRDefault="006369D2" w:rsidP="00754AE5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Изисквания към кандидатите</w:t>
      </w:r>
    </w:p>
    <w:p w:rsidR="006369D2" w:rsidRPr="0090257B" w:rsidRDefault="006369D2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Кандидатите трябва да разполага със стабилни и достатъчни източници на финансиране за поддържане на своята дейност през целия период на изпълнение на проекта, за който се отпускат безвъзмездните средства, и за участие в неговото финансиране.</w:t>
      </w:r>
    </w:p>
    <w:p w:rsidR="005751E8" w:rsidRDefault="005B1B90" w:rsidP="00CF1C47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В случай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че оценителната комисия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25DEA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установи, че са налице индикации за затруднено финансово положение на кандидата, 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комисията 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>ще отхвърли проектното предложени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етап „Административно съответствие и допустимост“</w:t>
      </w:r>
      <w:r w:rsidR="00B25DEA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B25DEA" w:rsidRPr="00754AE5" w:rsidRDefault="00B25DEA" w:rsidP="00754AE5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Въведение в разработването на метод</w:t>
      </w:r>
      <w:r w:rsidR="00754AE5">
        <w:rPr>
          <w:rFonts w:ascii="Times New Roman" w:hAnsi="Times New Roman" w:cs="Times New Roman"/>
          <w:b/>
          <w:sz w:val="24"/>
          <w:szCs w:val="24"/>
          <w:lang w:val="bg-BG"/>
        </w:rPr>
        <w:t>иката</w:t>
      </w:r>
    </w:p>
    <w:p w:rsidR="00492ACD" w:rsidRPr="0090257B" w:rsidRDefault="005A2CD6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Оценката за</w:t>
      </w:r>
      <w:r w:rsidR="00492ACD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финансова стабилност дава </w:t>
      </w:r>
      <w:r w:rsidR="00D10335" w:rsidRPr="0090257B">
        <w:rPr>
          <w:rFonts w:ascii="Times New Roman" w:hAnsi="Times New Roman" w:cs="Times New Roman"/>
          <w:sz w:val="24"/>
          <w:szCs w:val="24"/>
          <w:lang w:val="bg-BG"/>
        </w:rPr>
        <w:t>информация</w:t>
      </w:r>
      <w:r w:rsidR="00492ACD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за качеството на финансовата структура на кандидата и предоставя увереност, че той ще бъде в състояние да изпълни проектните дейности за периода на действие на договора.</w:t>
      </w:r>
    </w:p>
    <w:p w:rsidR="00102707" w:rsidRPr="0090257B" w:rsidRDefault="00492ACD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Оценката се основава на няколко коефициента</w:t>
      </w:r>
      <w:r w:rsidR="003F4DB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: </w:t>
      </w:r>
    </w:p>
    <w:p w:rsidR="00102707" w:rsidRPr="0090257B" w:rsidRDefault="003F4DBC" w:rsidP="00754AE5">
      <w:pPr>
        <w:pStyle w:val="ListParagraph"/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lastRenderedPageBreak/>
        <w:t>коефициент за финансова независимост</w:t>
      </w:r>
    </w:p>
    <w:p w:rsidR="00102707" w:rsidRPr="0090257B" w:rsidRDefault="003F4DBC" w:rsidP="00754AE5">
      <w:pPr>
        <w:pStyle w:val="ListParagraph"/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коефициент за рентабилност</w:t>
      </w:r>
      <w:r w:rsidR="00492ACD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:rsidR="005E77DC" w:rsidRPr="0090257B" w:rsidRDefault="003F4DBC" w:rsidP="00CF1C47">
      <w:pPr>
        <w:pStyle w:val="ListParagraph"/>
        <w:spacing w:after="24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Методика</w:t>
      </w:r>
      <w:r w:rsidR="00305CE0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отчита</w:t>
      </w:r>
      <w:r w:rsidR="005E77D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специфични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="005E77D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характеристики на кандидатите и може да бъде използвана за организации с различни юридически форми от търговски </w:t>
      </w:r>
      <w:r w:rsidR="0021304A">
        <w:rPr>
          <w:rFonts w:ascii="Times New Roman" w:hAnsi="Times New Roman" w:cs="Times New Roman"/>
          <w:sz w:val="24"/>
          <w:szCs w:val="24"/>
          <w:lang w:val="bg-BG"/>
        </w:rPr>
        <w:t>дружества</w:t>
      </w:r>
      <w:r w:rsidR="005E77D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до организации с нестопанска цел.</w:t>
      </w:r>
    </w:p>
    <w:p w:rsidR="009264A6" w:rsidRPr="00754AE5" w:rsidRDefault="003F4DBC" w:rsidP="00754AE5">
      <w:pPr>
        <w:pStyle w:val="ListParagraph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Методика</w:t>
      </w:r>
    </w:p>
    <w:p w:rsidR="009264A6" w:rsidRPr="0090257B" w:rsidRDefault="00754AE5" w:rsidP="000229E1">
      <w:pPr>
        <w:spacing w:after="120" w:line="360" w:lineRule="auto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</w:t>
      </w:r>
      <w:r w:rsidR="009264A6" w:rsidRPr="0090257B">
        <w:rPr>
          <w:rFonts w:ascii="Times New Roman" w:hAnsi="Times New Roman" w:cs="Times New Roman"/>
          <w:sz w:val="24"/>
          <w:szCs w:val="24"/>
          <w:lang w:val="bg-BG"/>
        </w:rPr>
        <w:t>оефициенти</w:t>
      </w:r>
      <w:r>
        <w:rPr>
          <w:rFonts w:ascii="Times New Roman" w:hAnsi="Times New Roman" w:cs="Times New Roman"/>
          <w:sz w:val="24"/>
          <w:szCs w:val="24"/>
          <w:lang w:val="bg-BG"/>
        </w:rPr>
        <w:t>те, които</w:t>
      </w:r>
      <w:r w:rsidR="009264A6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се използват за определяне на нивото на увереност произтичаща от процеса на оценка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са следните</w:t>
      </w:r>
      <w:r w:rsidR="009264A6" w:rsidRPr="0090257B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:rsidR="009264A6" w:rsidRPr="00E2541E" w:rsidRDefault="009264A6" w:rsidP="00754AE5">
      <w:pPr>
        <w:pStyle w:val="ListParagraph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Оценка на финансовата </w:t>
      </w:r>
      <w:r w:rsidRPr="00E2541E">
        <w:rPr>
          <w:rFonts w:ascii="Times New Roman" w:hAnsi="Times New Roman" w:cs="Times New Roman"/>
          <w:b/>
          <w:i/>
          <w:sz w:val="24"/>
          <w:szCs w:val="24"/>
          <w:lang w:val="bg-BG"/>
        </w:rPr>
        <w:t>стабилност</w:t>
      </w:r>
    </w:p>
    <w:p w:rsidR="009264A6" w:rsidRPr="00E2541E" w:rsidRDefault="009264A6" w:rsidP="00754AE5">
      <w:pPr>
        <w:pStyle w:val="ListParagraph"/>
        <w:spacing w:after="0" w:line="360" w:lineRule="auto"/>
        <w:ind w:left="0"/>
        <w:rPr>
          <w:rFonts w:ascii="Times New Roman" w:hAnsi="Times New Roman" w:cs="Times New Roman"/>
          <w:sz w:val="24"/>
          <w:szCs w:val="24"/>
          <w:lang w:val="bg-BG"/>
        </w:rPr>
      </w:pPr>
      <w:r w:rsidRPr="00E2541E">
        <w:rPr>
          <w:rFonts w:ascii="Times New Roman" w:hAnsi="Times New Roman" w:cs="Times New Roman"/>
          <w:sz w:val="24"/>
          <w:szCs w:val="24"/>
          <w:lang w:val="bg-BG"/>
        </w:rPr>
        <w:t>Тази оценка е основана на следните индикатори:</w:t>
      </w:r>
    </w:p>
    <w:p w:rsidR="00E976B1" w:rsidRPr="004770D3" w:rsidRDefault="004770D3" w:rsidP="00B1472B">
      <w:pPr>
        <w:spacing w:before="120" w:after="120" w:line="360" w:lineRule="auto"/>
        <w:jc w:val="both"/>
        <w:rPr>
          <w:rFonts w:ascii="Times New Roman" w:eastAsiaTheme="minorEastAsia" w:hAnsi="Times New Roman" w:cs="Times New Roman"/>
          <w:sz w:val="32"/>
          <w:szCs w:val="32"/>
          <w:lang w:val="bg-BG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32"/>
              <w:szCs w:val="32"/>
              <w:lang w:val="bg-BG"/>
            </w:rPr>
            <m:t>I.</m:t>
          </m:r>
          <m:r>
            <w:rPr>
              <w:rFonts w:ascii="Cambria Math" w:eastAsia="Times New Roman" w:hAnsi="Cambria Math" w:cs="Times New Roman"/>
              <w:sz w:val="36"/>
              <w:szCs w:val="32"/>
              <w:lang w:val="bg-BG"/>
            </w:rPr>
            <m:t>Финансова</m:t>
          </m:r>
          <m:r>
            <w:rPr>
              <w:rFonts w:ascii="Cambria Math" w:eastAsia="Times New Roman" w:hAnsi="Cambria Math" w:cs="Times New Roman"/>
              <w:sz w:val="32"/>
              <w:szCs w:val="32"/>
              <w:lang w:val="bg-BG"/>
            </w:rPr>
            <m:t xml:space="preserve"> </m:t>
          </m:r>
          <m:r>
            <w:rPr>
              <w:rFonts w:ascii="Cambria Math" w:eastAsia="Times New Roman" w:hAnsi="Cambria Math" w:cs="Times New Roman"/>
              <w:sz w:val="36"/>
              <w:szCs w:val="32"/>
              <w:lang w:val="bg-BG"/>
            </w:rPr>
            <m:t>независимост</m:t>
          </m:r>
          <m:r>
            <w:rPr>
              <w:rFonts w:ascii="Cambria Math" w:eastAsia="Times New Roman" w:hAnsi="Cambria Math" w:cs="Times New Roman"/>
              <w:sz w:val="32"/>
              <w:szCs w:val="32"/>
              <w:lang w:val="bg-BG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32"/>
                  <w:szCs w:val="32"/>
                  <w:lang w:val="bg-BG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32"/>
                  <w:szCs w:val="32"/>
                  <w:lang w:val="bg-BG"/>
                </w:rPr>
                <m:t>Собствен капитал (код</m:t>
              </m:r>
              <m:r>
                <w:rPr>
                  <w:rStyle w:val="FootnoteReference"/>
                  <w:rFonts w:ascii="Cambria Math" w:eastAsia="Times New Roman" w:hAnsi="Cambria Math" w:cs="Times New Roman"/>
                  <w:i/>
                  <w:sz w:val="32"/>
                  <w:szCs w:val="32"/>
                  <w:lang w:val="bg-BG"/>
                </w:rPr>
                <w:footnoteReference w:id="2"/>
              </m:r>
              <m:r>
                <w:rPr>
                  <w:rFonts w:ascii="Cambria Math" w:eastAsia="Times New Roman" w:hAnsi="Cambria Math" w:cs="Times New Roman"/>
                  <w:sz w:val="32"/>
                  <w:szCs w:val="32"/>
                  <w:lang w:val="bg-BG"/>
                </w:rPr>
                <m:t xml:space="preserve"> 05000)</m:t>
              </m:r>
            </m:num>
            <m:den>
              <m:r>
                <w:rPr>
                  <w:rFonts w:ascii="Cambria Math" w:eastAsia="Times New Roman" w:hAnsi="Cambria Math" w:cs="Times New Roman"/>
                  <w:sz w:val="32"/>
                  <w:szCs w:val="32"/>
                  <w:lang w:val="bg-BG"/>
                </w:rPr>
                <m:t>Сума на актива (код 04500)</m:t>
              </m:r>
              <m:r>
                <w:rPr>
                  <w:rStyle w:val="FootnoteReference"/>
                  <w:rFonts w:ascii="Cambria Math" w:eastAsia="Times New Roman" w:hAnsi="Cambria Math" w:cs="Times New Roman"/>
                  <w:i/>
                  <w:sz w:val="32"/>
                  <w:szCs w:val="32"/>
                  <w:lang w:val="bg-BG"/>
                </w:rPr>
                <w:footnoteReference w:id="3"/>
              </m:r>
            </m:den>
          </m:f>
        </m:oMath>
      </m:oMathPara>
    </w:p>
    <w:p w:rsidR="004770D3" w:rsidRDefault="004770D3" w:rsidP="00B1472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E976B1" w:rsidRDefault="004770D3" w:rsidP="00B1472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A6C0C">
        <w:rPr>
          <w:rFonts w:ascii="Times New Roman" w:eastAsiaTheme="minorEastAsia" w:hAnsi="Times New Roman" w:cs="Times New Roman"/>
          <w:sz w:val="36"/>
          <w:szCs w:val="36"/>
        </w:rPr>
        <w:t>II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  <w:r w:rsidRPr="003A6C0C">
        <w:rPr>
          <w:rFonts w:ascii="Times New Roman" w:eastAsiaTheme="minorEastAsia" w:hAnsi="Times New Roman" w:cs="Times New Roman"/>
          <w:sz w:val="36"/>
          <w:szCs w:val="36"/>
        </w:rPr>
        <w:t xml:space="preserve"> </w:t>
      </w:r>
      <m:oMath>
        <m:r>
          <w:rPr>
            <w:rFonts w:ascii="Cambria Math" w:eastAsia="Times New Roman" w:hAnsi="Cambria Math" w:cs="Times New Roman"/>
            <w:sz w:val="40"/>
            <w:szCs w:val="36"/>
            <w:lang w:val="bg-BG"/>
          </w:rPr>
          <m:t>Рентабилност=</m:t>
        </m:r>
        <m:f>
          <m:fPr>
            <m:ctrlPr>
              <w:rPr>
                <w:rFonts w:ascii="Cambria Math" w:eastAsia="Times New Roman" w:hAnsi="Cambria Math" w:cs="Times New Roman"/>
                <w:sz w:val="40"/>
                <w:szCs w:val="36"/>
                <w:lang w:val="bg-BG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40"/>
                <w:szCs w:val="36"/>
                <w:lang w:val="bg-BG"/>
              </w:rPr>
              <m:t>Печалба или загуба (код 05600)</m:t>
            </m:r>
          </m:num>
          <m:den>
            <m:r>
              <w:rPr>
                <w:rFonts w:ascii="Cambria Math" w:eastAsia="Times New Roman" w:hAnsi="Cambria Math" w:cs="Times New Roman"/>
                <w:sz w:val="40"/>
                <w:szCs w:val="36"/>
                <w:lang w:val="bg-BG"/>
              </w:rPr>
              <m:t>Сума на актива (код 04500)</m:t>
            </m:r>
          </m:den>
        </m:f>
      </m:oMath>
    </w:p>
    <w:p w:rsidR="003A4DF2" w:rsidRDefault="00BA0182" w:rsidP="00B1472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Коефициентът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финансова независимост отразява размера на собствения капитал като </w:t>
      </w:r>
      <w:r w:rsidR="004E0E1E" w:rsidRPr="0090257B">
        <w:rPr>
          <w:rFonts w:ascii="Times New Roman" w:hAnsi="Times New Roman" w:cs="Times New Roman"/>
          <w:sz w:val="24"/>
          <w:szCs w:val="24"/>
          <w:lang w:val="bg-BG"/>
        </w:rPr>
        <w:t>отношение към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общата сума на </w:t>
      </w:r>
      <w:r w:rsidR="0021304A">
        <w:rPr>
          <w:rFonts w:ascii="Times New Roman" w:hAnsi="Times New Roman" w:cs="Times New Roman"/>
          <w:sz w:val="24"/>
          <w:szCs w:val="24"/>
          <w:lang w:val="bg-BG"/>
        </w:rPr>
        <w:t>активите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. Това показва до каква степен организациите зависят от финансиране от трета страна. Колкото </w:t>
      </w:r>
      <w:r w:rsidR="00471FC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е 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по-близо съотношението </w:t>
      </w:r>
      <w:r w:rsidR="00471FC2">
        <w:rPr>
          <w:rFonts w:ascii="Times New Roman" w:hAnsi="Times New Roman" w:cs="Times New Roman"/>
          <w:sz w:val="24"/>
          <w:szCs w:val="24"/>
          <w:lang w:val="bg-BG"/>
        </w:rPr>
        <w:t>до 1, толкова по-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>финансово независима е организацията и има по-голяма автономия за управление. Колкото е по-близо съотношението до 0, толкова по-зависима е организацията е от финансиране от трета страна. Колкото по-нисък е коеф</w:t>
      </w:r>
      <w:r w:rsidR="00996CD1">
        <w:rPr>
          <w:rFonts w:ascii="Times New Roman" w:hAnsi="Times New Roman" w:cs="Times New Roman"/>
          <w:sz w:val="24"/>
          <w:szCs w:val="24"/>
          <w:lang w:val="bg-BG"/>
        </w:rPr>
        <w:t>ициентът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финансова независимост, толкова по-трудно ще бъде да получат кредити и </w:t>
      </w:r>
      <w:r w:rsidR="009F4130" w:rsidRPr="0090257B">
        <w:rPr>
          <w:rFonts w:ascii="Times New Roman" w:hAnsi="Times New Roman" w:cs="Times New Roman"/>
          <w:sz w:val="24"/>
          <w:szCs w:val="24"/>
          <w:lang w:val="bg-BG"/>
        </w:rPr>
        <w:t>външно финансиране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4E0E1E" w:rsidRDefault="00996CD1" w:rsidP="000229E1">
      <w:pPr>
        <w:tabs>
          <w:tab w:val="left" w:pos="426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Коефициентът</w:t>
      </w:r>
      <w:r w:rsidR="004E0E1E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рентабилност измерва ефективността с която организациите използват своите активи.</w:t>
      </w:r>
    </w:p>
    <w:p w:rsidR="004E0E1E" w:rsidRPr="00754AE5" w:rsidRDefault="003F4DBC" w:rsidP="000229E1">
      <w:pPr>
        <w:pStyle w:val="ListParagraph"/>
        <w:numPr>
          <w:ilvl w:val="0"/>
          <w:numId w:val="11"/>
        </w:numPr>
        <w:spacing w:after="120" w:line="360" w:lineRule="auto"/>
        <w:ind w:left="714" w:hanging="357"/>
        <w:contextualSpacing w:val="0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</w:t>
      </w:r>
      <w:r w:rsidR="004E0E1E"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>Оценка</w:t>
      </w:r>
    </w:p>
    <w:p w:rsidR="004E0E1E" w:rsidRPr="0090257B" w:rsidRDefault="004E0E1E" w:rsidP="00754AE5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За да бъде определено нивото (лошо</w:t>
      </w:r>
      <w:r w:rsidR="00B60166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или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добро) на финансовата стабилност на кандидатите </w:t>
      </w:r>
      <w:r w:rsidR="001D41F5">
        <w:rPr>
          <w:rFonts w:ascii="Times New Roman" w:hAnsi="Times New Roman" w:cs="Times New Roman"/>
          <w:sz w:val="24"/>
          <w:szCs w:val="24"/>
          <w:lang w:val="bg-BG"/>
        </w:rPr>
        <w:t xml:space="preserve">се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използва следната таблица:</w:t>
      </w:r>
    </w:p>
    <w:tbl>
      <w:tblPr>
        <w:tblW w:w="83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3119"/>
        <w:gridCol w:w="1700"/>
      </w:tblGrid>
      <w:tr w:rsidR="004E0E1E" w:rsidRPr="0090257B" w:rsidTr="00754AE5">
        <w:tc>
          <w:tcPr>
            <w:tcW w:w="3544" w:type="dxa"/>
            <w:vAlign w:val="center"/>
          </w:tcPr>
          <w:p w:rsidR="004E0E1E" w:rsidRPr="0090257B" w:rsidRDefault="004313F7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lastRenderedPageBreak/>
              <w:t>Индикатори</w:t>
            </w:r>
          </w:p>
        </w:tc>
        <w:tc>
          <w:tcPr>
            <w:tcW w:w="3119" w:type="dxa"/>
            <w:vAlign w:val="center"/>
          </w:tcPr>
          <w:p w:rsidR="004E0E1E" w:rsidRPr="0090257B" w:rsidRDefault="004313F7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Резултат</w:t>
            </w:r>
          </w:p>
        </w:tc>
        <w:tc>
          <w:tcPr>
            <w:tcW w:w="1700" w:type="dxa"/>
            <w:vAlign w:val="center"/>
          </w:tcPr>
          <w:p w:rsidR="004E0E1E" w:rsidRPr="0090257B" w:rsidRDefault="004313F7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Точки</w:t>
            </w:r>
          </w:p>
        </w:tc>
      </w:tr>
      <w:tr w:rsidR="004E0E1E" w:rsidRPr="0090257B" w:rsidTr="00754AE5">
        <w:tc>
          <w:tcPr>
            <w:tcW w:w="3544" w:type="dxa"/>
            <w:vAlign w:val="center"/>
          </w:tcPr>
          <w:p w:rsidR="004E0E1E" w:rsidRPr="0090257B" w:rsidRDefault="00BF0B9A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I.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Финансова независимост (ФН)</w:t>
            </w:r>
          </w:p>
        </w:tc>
        <w:tc>
          <w:tcPr>
            <w:tcW w:w="3119" w:type="dxa"/>
            <w:vAlign w:val="center"/>
          </w:tcPr>
          <w:p w:rsidR="004E0E1E" w:rsidRPr="005B1B90" w:rsidRDefault="004313F7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="004E0E1E"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≥ 0,5</w:t>
            </w:r>
          </w:p>
          <w:p w:rsidR="004E0E1E" w:rsidRPr="005B1B90" w:rsidRDefault="004E0E1E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0,4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&lt; 0,5</w:t>
            </w:r>
          </w:p>
          <w:p w:rsidR="004E0E1E" w:rsidRPr="005B1B90" w:rsidRDefault="004E0E1E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0,3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&lt; 0,4</w:t>
            </w:r>
          </w:p>
          <w:p w:rsidR="004E0E1E" w:rsidRPr="005B1B90" w:rsidRDefault="004E0E1E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0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&lt; 0,3</w:t>
            </w:r>
          </w:p>
          <w:p w:rsidR="004E0E1E" w:rsidRPr="0090257B" w:rsidRDefault="009F4130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 е отрицателно число</w:t>
            </w:r>
          </w:p>
        </w:tc>
        <w:tc>
          <w:tcPr>
            <w:tcW w:w="1700" w:type="dxa"/>
            <w:vAlign w:val="center"/>
          </w:tcPr>
          <w:p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4</w:t>
            </w:r>
          </w:p>
          <w:p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</w:t>
            </w:r>
          </w:p>
          <w:p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</w:p>
          <w:p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</w:p>
          <w:p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-2</w:t>
            </w:r>
          </w:p>
        </w:tc>
      </w:tr>
      <w:tr w:rsidR="004E0E1E" w:rsidRPr="0090257B" w:rsidTr="00754AE5">
        <w:trPr>
          <w:cantSplit/>
        </w:trPr>
        <w:tc>
          <w:tcPr>
            <w:tcW w:w="3544" w:type="dxa"/>
            <w:vAlign w:val="center"/>
          </w:tcPr>
          <w:p w:rsidR="004E0E1E" w:rsidRPr="0090257B" w:rsidRDefault="00E83B40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II.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</w:p>
        </w:tc>
        <w:tc>
          <w:tcPr>
            <w:tcW w:w="3119" w:type="dxa"/>
            <w:vAlign w:val="center"/>
          </w:tcPr>
          <w:p w:rsidR="004E0E1E" w:rsidRPr="0090257B" w:rsidRDefault="004313F7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4E0E1E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≥ 2%</w:t>
            </w:r>
          </w:p>
          <w:p w:rsidR="004E0E1E" w:rsidRPr="0090257B" w:rsidRDefault="004E0E1E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- 2%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&lt; 2%</w:t>
            </w:r>
          </w:p>
          <w:p w:rsidR="004E0E1E" w:rsidRPr="0090257B" w:rsidRDefault="004313F7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4E0E1E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&lt; - 2%</w:t>
            </w:r>
          </w:p>
        </w:tc>
        <w:tc>
          <w:tcPr>
            <w:tcW w:w="1700" w:type="dxa"/>
            <w:vAlign w:val="center"/>
          </w:tcPr>
          <w:p w:rsidR="004E0E1E" w:rsidRPr="0090257B" w:rsidRDefault="004E0E1E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4</w:t>
            </w:r>
          </w:p>
          <w:p w:rsidR="004E0E1E" w:rsidRPr="0090257B" w:rsidRDefault="004E0E1E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</w:p>
          <w:p w:rsidR="004E0E1E" w:rsidRPr="0090257B" w:rsidRDefault="004E0E1E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</w:tbl>
    <w:p w:rsidR="004313F7" w:rsidRDefault="003E50D7" w:rsidP="00D56C7A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Сумата на точките за всеки индикатор ще ни даде обща оценка за финансовата стабилност на кандидата.</w:t>
      </w:r>
    </w:p>
    <w:p w:rsidR="00754AE5" w:rsidRPr="0090257B" w:rsidRDefault="00754AE5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6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2"/>
        <w:gridCol w:w="1701"/>
        <w:gridCol w:w="1417"/>
      </w:tblGrid>
      <w:tr w:rsidR="00754AE5" w:rsidRPr="0090257B" w:rsidTr="00754AE5">
        <w:tc>
          <w:tcPr>
            <w:tcW w:w="3402" w:type="dxa"/>
            <w:vAlign w:val="center"/>
          </w:tcPr>
          <w:p w:rsidR="00754AE5" w:rsidRPr="0090257B" w:rsidRDefault="00754AE5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Оценка на финансовата стабилност</w:t>
            </w:r>
          </w:p>
        </w:tc>
        <w:tc>
          <w:tcPr>
            <w:tcW w:w="1701" w:type="dxa"/>
            <w:vAlign w:val="center"/>
          </w:tcPr>
          <w:p w:rsidR="00754AE5" w:rsidRPr="0090257B" w:rsidRDefault="00754AE5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Лоша</w:t>
            </w:r>
          </w:p>
        </w:tc>
        <w:tc>
          <w:tcPr>
            <w:tcW w:w="1417" w:type="dxa"/>
            <w:vAlign w:val="center"/>
          </w:tcPr>
          <w:p w:rsidR="00754AE5" w:rsidRPr="0090257B" w:rsidRDefault="00754AE5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Добра</w:t>
            </w:r>
          </w:p>
        </w:tc>
      </w:tr>
      <w:tr w:rsidR="00754AE5" w:rsidRPr="0090257B" w:rsidTr="00754AE5">
        <w:tc>
          <w:tcPr>
            <w:tcW w:w="3402" w:type="dxa"/>
            <w:vAlign w:val="center"/>
          </w:tcPr>
          <w:p w:rsidR="00754AE5" w:rsidRPr="0090257B" w:rsidRDefault="00754AE5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Общ брой точки</w:t>
            </w:r>
          </w:p>
        </w:tc>
        <w:tc>
          <w:tcPr>
            <w:tcW w:w="1701" w:type="dxa"/>
            <w:vAlign w:val="center"/>
          </w:tcPr>
          <w:p w:rsidR="00754AE5" w:rsidRPr="0090257B" w:rsidRDefault="00754AE5" w:rsidP="003050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2 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 по малко</w:t>
            </w:r>
          </w:p>
        </w:tc>
        <w:tc>
          <w:tcPr>
            <w:tcW w:w="1417" w:type="dxa"/>
            <w:vAlign w:val="center"/>
          </w:tcPr>
          <w:p w:rsidR="00754AE5" w:rsidRPr="0090257B" w:rsidRDefault="00754AE5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3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 повече</w:t>
            </w:r>
          </w:p>
        </w:tc>
      </w:tr>
    </w:tbl>
    <w:p w:rsidR="003E50D7" w:rsidRPr="00754AE5" w:rsidRDefault="003F4DBC" w:rsidP="00F1576F">
      <w:pPr>
        <w:pStyle w:val="ListParagraph"/>
        <w:numPr>
          <w:ilvl w:val="0"/>
          <w:numId w:val="11"/>
        </w:numPr>
        <w:spacing w:before="480" w:after="240" w:line="360" w:lineRule="auto"/>
        <w:ind w:left="714" w:hanging="357"/>
        <w:contextualSpacing w:val="0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</w:t>
      </w:r>
      <w:r w:rsidR="009B6BA8"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>Тълкуване на резултатите</w:t>
      </w:r>
    </w:p>
    <w:p w:rsidR="009B6BA8" w:rsidRPr="0090257B" w:rsidRDefault="009B6BA8" w:rsidP="00754AE5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На осн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вата на общата оценка кандидатите попадат в </w:t>
      </w:r>
      <w:r w:rsidR="00540FE6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две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основни категории</w:t>
      </w:r>
      <w:r w:rsidR="00D86AD8" w:rsidRPr="0090257B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:rsidR="00D86AD8" w:rsidRPr="0090257B" w:rsidRDefault="00102707" w:rsidP="00754AE5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1. </w:t>
      </w:r>
      <w:r w:rsidR="003F4DBC"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Добра </w:t>
      </w:r>
      <w:r w:rsidR="00067A31" w:rsidRPr="0090257B">
        <w:rPr>
          <w:rFonts w:ascii="Times New Roman" w:hAnsi="Times New Roman" w:cs="Times New Roman"/>
          <w:b/>
          <w:sz w:val="24"/>
          <w:szCs w:val="24"/>
          <w:lang w:val="bg-BG"/>
        </w:rPr>
        <w:t>финансова стабилност</w:t>
      </w:r>
      <w:bookmarkStart w:id="0" w:name="_GoBack"/>
      <w:bookmarkEnd w:id="0"/>
    </w:p>
    <w:p w:rsidR="00067A31" w:rsidRPr="0090257B" w:rsidRDefault="00067A31" w:rsidP="00683044">
      <w:pPr>
        <w:pStyle w:val="ListParagraph"/>
        <w:spacing w:after="24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Кандидатът демонстрира стабилен финансов профил. Изпълнени са условията за отпускане на безвъзмездна 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финансова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помощ при нисък риск за средствата 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>предоставяни от ЕС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067A31" w:rsidRPr="0090257B" w:rsidRDefault="00102707" w:rsidP="00754AE5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2. </w:t>
      </w:r>
      <w:r w:rsidR="00067A31" w:rsidRPr="0090257B">
        <w:rPr>
          <w:rFonts w:ascii="Times New Roman" w:hAnsi="Times New Roman" w:cs="Times New Roman"/>
          <w:b/>
          <w:sz w:val="24"/>
          <w:szCs w:val="24"/>
          <w:lang w:val="bg-BG"/>
        </w:rPr>
        <w:t>Лоша финансова стабилност</w:t>
      </w:r>
    </w:p>
    <w:p w:rsidR="00C4321A" w:rsidRPr="0090257B" w:rsidRDefault="00FD54FA" w:rsidP="001D41F5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Оценителн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та комисия отхвърля </w:t>
      </w:r>
      <w:r w:rsidR="003F4DBC" w:rsidRPr="0090257B">
        <w:rPr>
          <w:rFonts w:ascii="Times New Roman" w:hAnsi="Times New Roman" w:cs="Times New Roman"/>
          <w:sz w:val="24"/>
          <w:szCs w:val="24"/>
          <w:lang w:val="bg-BG"/>
        </w:rPr>
        <w:t>проектното предложение на кандидата на етап „Административно съответствие и допустимост“.</w:t>
      </w:r>
    </w:p>
    <w:sectPr w:rsidR="00C4321A" w:rsidRPr="0090257B" w:rsidSect="000229E1">
      <w:pgSz w:w="12240" w:h="15840"/>
      <w:pgMar w:top="709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A5E" w:rsidRDefault="00997A5E" w:rsidP="00B938A0">
      <w:pPr>
        <w:spacing w:after="0" w:line="240" w:lineRule="auto"/>
      </w:pPr>
      <w:r>
        <w:separator/>
      </w:r>
    </w:p>
  </w:endnote>
  <w:endnote w:type="continuationSeparator" w:id="0">
    <w:p w:rsidR="00997A5E" w:rsidRDefault="00997A5E" w:rsidP="00B93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A5E" w:rsidRDefault="00997A5E" w:rsidP="00B938A0">
      <w:pPr>
        <w:spacing w:after="0" w:line="240" w:lineRule="auto"/>
      </w:pPr>
      <w:r>
        <w:separator/>
      </w:r>
    </w:p>
  </w:footnote>
  <w:footnote w:type="continuationSeparator" w:id="0">
    <w:p w:rsidR="00997A5E" w:rsidRDefault="00997A5E" w:rsidP="00B938A0">
      <w:pPr>
        <w:spacing w:after="0" w:line="240" w:lineRule="auto"/>
      </w:pPr>
      <w:r>
        <w:continuationSeparator/>
      </w:r>
    </w:p>
  </w:footnote>
  <w:footnote w:id="1">
    <w:p w:rsidR="00553A92" w:rsidRPr="00A911D4" w:rsidRDefault="00553A92" w:rsidP="00553A92">
      <w:pPr>
        <w:pStyle w:val="FootnoteText"/>
        <w:rPr>
          <w:rFonts w:ascii="Times New Roman" w:hAnsi="Times New Roman" w:cs="Times New Roman"/>
          <w:lang w:val="bg-BG"/>
        </w:rPr>
      </w:pPr>
      <w:r w:rsidRPr="00A911D4">
        <w:rPr>
          <w:rStyle w:val="FootnoteReference"/>
          <w:rFonts w:ascii="Times New Roman" w:hAnsi="Times New Roman" w:cs="Times New Roman"/>
        </w:rPr>
        <w:footnoteRef/>
      </w:r>
      <w:r w:rsidRPr="00A911D4">
        <w:rPr>
          <w:rFonts w:ascii="Times New Roman" w:hAnsi="Times New Roman" w:cs="Times New Roman"/>
        </w:rPr>
        <w:t xml:space="preserve"> </w:t>
      </w:r>
      <w:r w:rsidRPr="00A911D4">
        <w:rPr>
          <w:rFonts w:ascii="Times New Roman" w:hAnsi="Times New Roman" w:cs="Times New Roman"/>
          <w:lang w:val="bg-BG"/>
        </w:rPr>
        <w:t xml:space="preserve">В зависимост от предвиденото в Условията за кандидатстване по конкретната процедура. </w:t>
      </w:r>
    </w:p>
  </w:footnote>
  <w:footnote w:id="2">
    <w:p w:rsidR="006D2043" w:rsidRPr="006D2043" w:rsidRDefault="006D2043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DB4FBF">
        <w:rPr>
          <w:rFonts w:ascii="Times New Roman" w:hAnsi="Times New Roman" w:cs="Times New Roman"/>
          <w:lang w:val="bg-BG"/>
        </w:rPr>
        <w:t>Кодовете са данни от счетоводния баланс</w:t>
      </w:r>
      <w:r>
        <w:rPr>
          <w:rFonts w:ascii="Times New Roman" w:hAnsi="Times New Roman" w:cs="Times New Roman"/>
          <w:lang w:val="bg-BG"/>
        </w:rPr>
        <w:t>.</w:t>
      </w:r>
    </w:p>
  </w:footnote>
  <w:footnote w:id="3">
    <w:p w:rsidR="006D2043" w:rsidRPr="006D2043" w:rsidRDefault="006D2043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DB4FBF">
        <w:rPr>
          <w:rFonts w:ascii="Times New Roman" w:hAnsi="Times New Roman" w:cs="Times New Roman"/>
          <w:lang w:val="bg-BG"/>
        </w:rPr>
        <w:t xml:space="preserve">В случаите, когато </w:t>
      </w:r>
      <w:r w:rsidRPr="007632C1">
        <w:rPr>
          <w:rFonts w:ascii="Times New Roman" w:hAnsi="Times New Roman" w:cs="Times New Roman"/>
          <w:lang w:val="bg-BG"/>
        </w:rPr>
        <w:t>“</w:t>
      </w:r>
      <w:r w:rsidRPr="00DB4FBF">
        <w:rPr>
          <w:rFonts w:ascii="Times New Roman" w:hAnsi="Times New Roman" w:cs="Times New Roman"/>
          <w:lang w:val="bg-BG"/>
        </w:rPr>
        <w:t xml:space="preserve">Сума на Актива“ и „Сумата на Пасива“ е равна на „0“ не е невъзможно изчислението на показателите за оценка на финансов капацитет, тъй като на „0“ не се дели. В тези случаи ще се счита, че кандидатът има лоша финансова стабилност. </w:t>
      </w:r>
      <w: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27D12"/>
    <w:multiLevelType w:val="hybridMultilevel"/>
    <w:tmpl w:val="024465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D9D4CAA"/>
    <w:multiLevelType w:val="hybridMultilevel"/>
    <w:tmpl w:val="CB728D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2F2491F"/>
    <w:multiLevelType w:val="hybridMultilevel"/>
    <w:tmpl w:val="85EE690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C4003D"/>
    <w:multiLevelType w:val="hybridMultilevel"/>
    <w:tmpl w:val="D7B27E1E"/>
    <w:lvl w:ilvl="0" w:tplc="039E1B32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4457983"/>
    <w:multiLevelType w:val="hybridMultilevel"/>
    <w:tmpl w:val="E4E49AD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36C2720B"/>
    <w:multiLevelType w:val="multilevel"/>
    <w:tmpl w:val="C644CC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46074344"/>
    <w:multiLevelType w:val="hybridMultilevel"/>
    <w:tmpl w:val="D040B0A8"/>
    <w:lvl w:ilvl="0" w:tplc="10E80B40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8D65817"/>
    <w:multiLevelType w:val="hybridMultilevel"/>
    <w:tmpl w:val="4268100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67CA6B03"/>
    <w:multiLevelType w:val="hybridMultilevel"/>
    <w:tmpl w:val="38683AD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6E015AA2"/>
    <w:multiLevelType w:val="hybridMultilevel"/>
    <w:tmpl w:val="39606E5A"/>
    <w:lvl w:ilvl="0" w:tplc="7D7A1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606A6C"/>
    <w:multiLevelType w:val="hybridMultilevel"/>
    <w:tmpl w:val="DC08AB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8"/>
  </w:num>
  <w:num w:numId="9">
    <w:abstractNumId w:val="3"/>
  </w:num>
  <w:num w:numId="10">
    <w:abstractNumId w:val="9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1460"/>
    <w:rsid w:val="00011B1E"/>
    <w:rsid w:val="000229E1"/>
    <w:rsid w:val="00025870"/>
    <w:rsid w:val="00027A30"/>
    <w:rsid w:val="000330D5"/>
    <w:rsid w:val="00042E41"/>
    <w:rsid w:val="00067A31"/>
    <w:rsid w:val="00102707"/>
    <w:rsid w:val="00106B39"/>
    <w:rsid w:val="00123DC6"/>
    <w:rsid w:val="0013793B"/>
    <w:rsid w:val="00162BE1"/>
    <w:rsid w:val="001B39F2"/>
    <w:rsid w:val="001D186D"/>
    <w:rsid w:val="001D41F5"/>
    <w:rsid w:val="0021304A"/>
    <w:rsid w:val="00213185"/>
    <w:rsid w:val="00225277"/>
    <w:rsid w:val="00265F3F"/>
    <w:rsid w:val="00275BB5"/>
    <w:rsid w:val="002A2527"/>
    <w:rsid w:val="002E05D6"/>
    <w:rsid w:val="00304175"/>
    <w:rsid w:val="00305095"/>
    <w:rsid w:val="00305CE0"/>
    <w:rsid w:val="003200C9"/>
    <w:rsid w:val="003A4DF2"/>
    <w:rsid w:val="003A6C0C"/>
    <w:rsid w:val="003E50D7"/>
    <w:rsid w:val="003E5162"/>
    <w:rsid w:val="003F4DBC"/>
    <w:rsid w:val="00417DCE"/>
    <w:rsid w:val="004313F7"/>
    <w:rsid w:val="00433628"/>
    <w:rsid w:val="0045595E"/>
    <w:rsid w:val="00471FC2"/>
    <w:rsid w:val="004770D3"/>
    <w:rsid w:val="00492ACD"/>
    <w:rsid w:val="004E0E1E"/>
    <w:rsid w:val="004E5D41"/>
    <w:rsid w:val="004F2B1C"/>
    <w:rsid w:val="00540FE6"/>
    <w:rsid w:val="00550B6F"/>
    <w:rsid w:val="00553A92"/>
    <w:rsid w:val="005615DB"/>
    <w:rsid w:val="005751E8"/>
    <w:rsid w:val="0057652F"/>
    <w:rsid w:val="005964EE"/>
    <w:rsid w:val="005A2CD6"/>
    <w:rsid w:val="005B1B90"/>
    <w:rsid w:val="005B29B2"/>
    <w:rsid w:val="005C3D7A"/>
    <w:rsid w:val="005E0E81"/>
    <w:rsid w:val="005E1B50"/>
    <w:rsid w:val="005E77DC"/>
    <w:rsid w:val="006369D2"/>
    <w:rsid w:val="0066504F"/>
    <w:rsid w:val="006807BD"/>
    <w:rsid w:val="00683044"/>
    <w:rsid w:val="006939C0"/>
    <w:rsid w:val="006A5DDC"/>
    <w:rsid w:val="006D2043"/>
    <w:rsid w:val="00720EC0"/>
    <w:rsid w:val="00722AEE"/>
    <w:rsid w:val="007352C8"/>
    <w:rsid w:val="00754AE5"/>
    <w:rsid w:val="007743B9"/>
    <w:rsid w:val="00786495"/>
    <w:rsid w:val="007A6DAD"/>
    <w:rsid w:val="007C36FB"/>
    <w:rsid w:val="007D4C04"/>
    <w:rsid w:val="007E39A3"/>
    <w:rsid w:val="007E79C0"/>
    <w:rsid w:val="00811432"/>
    <w:rsid w:val="00814F7A"/>
    <w:rsid w:val="0082006C"/>
    <w:rsid w:val="00826A81"/>
    <w:rsid w:val="00836EB0"/>
    <w:rsid w:val="00852E58"/>
    <w:rsid w:val="00853BE3"/>
    <w:rsid w:val="0088737F"/>
    <w:rsid w:val="008909E8"/>
    <w:rsid w:val="008951F9"/>
    <w:rsid w:val="008C4A97"/>
    <w:rsid w:val="008C56E2"/>
    <w:rsid w:val="008F5A5D"/>
    <w:rsid w:val="00901460"/>
    <w:rsid w:val="0090257B"/>
    <w:rsid w:val="009264A6"/>
    <w:rsid w:val="00970883"/>
    <w:rsid w:val="00996CD1"/>
    <w:rsid w:val="00997A5E"/>
    <w:rsid w:val="009B6BA8"/>
    <w:rsid w:val="009C1D21"/>
    <w:rsid w:val="009E4DD1"/>
    <w:rsid w:val="009E6616"/>
    <w:rsid w:val="009F4130"/>
    <w:rsid w:val="009F7052"/>
    <w:rsid w:val="00A12002"/>
    <w:rsid w:val="00A17257"/>
    <w:rsid w:val="00A911D4"/>
    <w:rsid w:val="00A95996"/>
    <w:rsid w:val="00AC30D9"/>
    <w:rsid w:val="00B1472B"/>
    <w:rsid w:val="00B25DEA"/>
    <w:rsid w:val="00B52A78"/>
    <w:rsid w:val="00B54B0F"/>
    <w:rsid w:val="00B60166"/>
    <w:rsid w:val="00B938A0"/>
    <w:rsid w:val="00BA0182"/>
    <w:rsid w:val="00BA11D9"/>
    <w:rsid w:val="00BC1167"/>
    <w:rsid w:val="00BD3655"/>
    <w:rsid w:val="00BE205E"/>
    <w:rsid w:val="00BF0B9A"/>
    <w:rsid w:val="00BF2EBB"/>
    <w:rsid w:val="00BF6ADB"/>
    <w:rsid w:val="00C01AC6"/>
    <w:rsid w:val="00C4321A"/>
    <w:rsid w:val="00C46FB4"/>
    <w:rsid w:val="00C502A1"/>
    <w:rsid w:val="00CD0E4E"/>
    <w:rsid w:val="00CD287E"/>
    <w:rsid w:val="00CF1C47"/>
    <w:rsid w:val="00D10335"/>
    <w:rsid w:val="00D12140"/>
    <w:rsid w:val="00D274CD"/>
    <w:rsid w:val="00D56C7A"/>
    <w:rsid w:val="00D84194"/>
    <w:rsid w:val="00D86AD8"/>
    <w:rsid w:val="00D90B7C"/>
    <w:rsid w:val="00DC3F1E"/>
    <w:rsid w:val="00DC6AA5"/>
    <w:rsid w:val="00DE6775"/>
    <w:rsid w:val="00E15C50"/>
    <w:rsid w:val="00E2541E"/>
    <w:rsid w:val="00E441C4"/>
    <w:rsid w:val="00E83B40"/>
    <w:rsid w:val="00E976B1"/>
    <w:rsid w:val="00EB5323"/>
    <w:rsid w:val="00ED38A4"/>
    <w:rsid w:val="00F1576F"/>
    <w:rsid w:val="00F230D8"/>
    <w:rsid w:val="00F26120"/>
    <w:rsid w:val="00F31669"/>
    <w:rsid w:val="00F34A34"/>
    <w:rsid w:val="00F52830"/>
    <w:rsid w:val="00F63B61"/>
    <w:rsid w:val="00F66FFC"/>
    <w:rsid w:val="00F72A0E"/>
    <w:rsid w:val="00FA5939"/>
    <w:rsid w:val="00FC19CB"/>
    <w:rsid w:val="00FD54FA"/>
    <w:rsid w:val="00FE2517"/>
    <w:rsid w:val="00FF2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E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OGO">
    <w:name w:val="GOGO"/>
    <w:basedOn w:val="Normal"/>
    <w:qFormat/>
    <w:rsid w:val="00D12140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GB" w:eastAsia="bg-BG"/>
    </w:rPr>
  </w:style>
  <w:style w:type="paragraph" w:styleId="ListParagraph">
    <w:name w:val="List Paragraph"/>
    <w:basedOn w:val="Normal"/>
    <w:uiPriority w:val="34"/>
    <w:qFormat/>
    <w:rsid w:val="0090146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B39F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3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9F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938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38A0"/>
  </w:style>
  <w:style w:type="paragraph" w:styleId="Footer">
    <w:name w:val="footer"/>
    <w:basedOn w:val="Normal"/>
    <w:link w:val="FooterChar"/>
    <w:uiPriority w:val="99"/>
    <w:unhideWhenUsed/>
    <w:rsid w:val="00B938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38A0"/>
  </w:style>
  <w:style w:type="character" w:styleId="CommentReference">
    <w:name w:val="annotation reference"/>
    <w:basedOn w:val="DefaultParagraphFont"/>
    <w:uiPriority w:val="99"/>
    <w:semiHidden/>
    <w:unhideWhenUsed/>
    <w:rsid w:val="00F34A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4A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4A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4A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4A34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E05D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E05D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E05D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F39F5-351F-4737-8FE6-94C90E716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886</TotalTime>
  <Pages>3</Pages>
  <Words>627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Gerov</dc:creator>
  <cp:lastModifiedBy>Kantcho.Kantchev</cp:lastModifiedBy>
  <cp:revision>113</cp:revision>
  <dcterms:created xsi:type="dcterms:W3CDTF">2015-05-14T13:29:00Z</dcterms:created>
  <dcterms:modified xsi:type="dcterms:W3CDTF">2019-05-21T11:23:00Z</dcterms:modified>
</cp:coreProperties>
</file>